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E1F08" w14:textId="77777777" w:rsidR="00D4346E" w:rsidRDefault="00F32334">
      <w:pPr>
        <w:spacing w:line="360" w:lineRule="auto"/>
        <w:jc w:val="center"/>
        <w:rPr>
          <w:rFonts w:ascii="宋体" w:eastAsia="宋体" w:hAnsi="宋体"/>
          <w:b/>
          <w:sz w:val="32"/>
          <w:szCs w:val="24"/>
        </w:rPr>
      </w:pPr>
      <w:r>
        <w:rPr>
          <w:rFonts w:ascii="宋体" w:eastAsia="宋体" w:hAnsi="宋体" w:hint="eastAsia"/>
          <w:b/>
          <w:sz w:val="32"/>
          <w:szCs w:val="24"/>
        </w:rPr>
        <w:t>国金铁建重庆渝遂高速公路封闭式基础设施证券投资基金</w:t>
      </w:r>
    </w:p>
    <w:p w14:paraId="70C940E8" w14:textId="77777777" w:rsidR="00D4346E" w:rsidRDefault="00F32334">
      <w:pPr>
        <w:spacing w:line="360" w:lineRule="auto"/>
        <w:jc w:val="center"/>
        <w:rPr>
          <w:rFonts w:ascii="宋体" w:eastAsia="宋体" w:hAnsi="宋体"/>
          <w:b/>
          <w:sz w:val="32"/>
          <w:szCs w:val="24"/>
        </w:rPr>
      </w:pPr>
      <w:r>
        <w:rPr>
          <w:rFonts w:ascii="宋体" w:eastAsia="宋体" w:hAnsi="宋体" w:hint="eastAsia"/>
          <w:b/>
          <w:sz w:val="32"/>
          <w:szCs w:val="24"/>
        </w:rPr>
        <w:t>首次公开募集网下投资者承诺函</w:t>
      </w:r>
    </w:p>
    <w:p w14:paraId="73CBFDAA" w14:textId="77777777" w:rsidR="00D4346E" w:rsidRDefault="00D4346E">
      <w:pPr>
        <w:spacing w:line="360" w:lineRule="auto"/>
        <w:rPr>
          <w:rFonts w:ascii="宋体" w:eastAsia="宋体" w:hAnsi="宋体"/>
          <w:sz w:val="24"/>
          <w:szCs w:val="24"/>
        </w:rPr>
      </w:pPr>
    </w:p>
    <w:p w14:paraId="73CF467C" w14:textId="77777777" w:rsidR="00D4346E" w:rsidRDefault="00F32334">
      <w:pPr>
        <w:spacing w:after="240" w:line="360" w:lineRule="auto"/>
        <w:rPr>
          <w:rFonts w:ascii="宋体" w:eastAsia="宋体" w:hAnsi="宋体"/>
          <w:sz w:val="24"/>
          <w:szCs w:val="24"/>
        </w:rPr>
      </w:pPr>
      <w:r>
        <w:rPr>
          <w:rFonts w:ascii="宋体" w:eastAsia="宋体" w:hAnsi="宋体"/>
          <w:sz w:val="24"/>
          <w:szCs w:val="24"/>
        </w:rPr>
        <w:t>国金基金管理有限公司：</w:t>
      </w:r>
    </w:p>
    <w:p w14:paraId="71CFFA41"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本机构（名称：【</w:t>
      </w:r>
      <w:r>
        <w:rPr>
          <w:rFonts w:ascii="宋体" w:eastAsia="宋体" w:hAnsi="宋体" w:hint="eastAsia"/>
          <w:sz w:val="24"/>
          <w:szCs w:val="24"/>
        </w:rPr>
        <w:t xml:space="preserve"> </w:t>
      </w:r>
      <w:r>
        <w:rPr>
          <w:rFonts w:ascii="宋体" w:eastAsia="宋体" w:hAnsi="宋体"/>
          <w:sz w:val="24"/>
          <w:szCs w:val="24"/>
        </w:rPr>
        <w:t xml:space="preserve">                 </w:t>
      </w:r>
      <w:r>
        <w:rPr>
          <w:rFonts w:ascii="宋体" w:eastAsia="宋体" w:hAnsi="宋体" w:hint="eastAsia"/>
          <w:sz w:val="24"/>
          <w:szCs w:val="24"/>
        </w:rPr>
        <w:t>】</w:t>
      </w:r>
      <w:r>
        <w:rPr>
          <w:rFonts w:ascii="宋体" w:eastAsia="宋体" w:hAnsi="宋体" w:hint="eastAsia"/>
          <w:sz w:val="24"/>
          <w:szCs w:val="24"/>
        </w:rPr>
        <w:t>,</w:t>
      </w:r>
      <w:r>
        <w:rPr>
          <w:rFonts w:ascii="宋体" w:eastAsia="宋体" w:hAnsi="宋体" w:hint="eastAsia"/>
          <w:sz w:val="24"/>
          <w:szCs w:val="24"/>
        </w:rPr>
        <w:t>统一社会信用代码：【</w:t>
      </w:r>
      <w:r>
        <w:rPr>
          <w:rFonts w:ascii="宋体" w:eastAsia="宋体" w:hAnsi="宋体" w:hint="eastAsia"/>
          <w:sz w:val="24"/>
          <w:szCs w:val="24"/>
        </w:rPr>
        <w:t xml:space="preserve"> </w:t>
      </w:r>
      <w:r>
        <w:rPr>
          <w:rFonts w:ascii="宋体" w:eastAsia="宋体" w:hAnsi="宋体"/>
          <w:sz w:val="24"/>
          <w:szCs w:val="24"/>
        </w:rPr>
        <w:t xml:space="preserve">             </w:t>
      </w:r>
      <w:r>
        <w:rPr>
          <w:rFonts w:ascii="宋体" w:eastAsia="宋体" w:hAnsi="宋体" w:hint="eastAsia"/>
          <w:sz w:val="24"/>
          <w:szCs w:val="24"/>
        </w:rPr>
        <w:t xml:space="preserve"> </w:t>
      </w:r>
      <w:r>
        <w:rPr>
          <w:rFonts w:ascii="宋体" w:eastAsia="宋体" w:hAnsi="宋体"/>
          <w:sz w:val="24"/>
          <w:szCs w:val="24"/>
        </w:rPr>
        <w:t xml:space="preserve"> </w:t>
      </w:r>
      <w:r>
        <w:rPr>
          <w:rFonts w:ascii="宋体" w:eastAsia="宋体" w:hAnsi="宋体" w:hint="eastAsia"/>
          <w:sz w:val="24"/>
          <w:szCs w:val="24"/>
        </w:rPr>
        <w:t>】）有意参与贵公司组织实施的国金铁建重</w:t>
      </w:r>
      <w:bookmarkStart w:id="0" w:name="_GoBack"/>
      <w:bookmarkEnd w:id="0"/>
      <w:r>
        <w:rPr>
          <w:rFonts w:ascii="宋体" w:eastAsia="宋体" w:hAnsi="宋体" w:hint="eastAsia"/>
          <w:sz w:val="24"/>
          <w:szCs w:val="24"/>
        </w:rPr>
        <w:t>庆渝遂高速公路封闭式基础设施证券投资基金（以下简称“本基金”）首次发售的网下询价及认购业务，在此特别承诺：</w:t>
      </w:r>
    </w:p>
    <w:p w14:paraId="52C08F84" w14:textId="77777777" w:rsidR="00D4346E" w:rsidRDefault="00F32334">
      <w:pPr>
        <w:pStyle w:val="ad"/>
        <w:numPr>
          <w:ilvl w:val="0"/>
          <w:numId w:val="1"/>
        </w:numPr>
        <w:spacing w:before="240" w:line="360" w:lineRule="auto"/>
        <w:ind w:left="0" w:firstLine="480"/>
        <w:rPr>
          <w:rFonts w:ascii="宋体" w:eastAsia="宋体" w:hAnsi="宋体"/>
          <w:sz w:val="24"/>
          <w:szCs w:val="24"/>
        </w:rPr>
      </w:pPr>
      <w:r>
        <w:rPr>
          <w:rFonts w:ascii="宋体" w:eastAsia="宋体" w:hAnsi="宋体" w:hint="eastAsia"/>
          <w:sz w:val="24"/>
          <w:szCs w:val="24"/>
        </w:rPr>
        <w:t>本机构已熟知中国证券监督管理委员会（以下简称“中国证监会”）、上海证券交易所（以下简称“上交所”）以及中国证券业协会（以下简称“证券业协会”）等相关监管部门、自律监管组织等发布的关于基础设施证券投资基金的相关法律法规、业务规则和自律规则，包括但不限于《公开募集基础设施证券投资基金指引（试行）》、《上海证券交易所公开募集基础设施证券投资基金（</w:t>
      </w:r>
      <w:r>
        <w:rPr>
          <w:rFonts w:ascii="宋体" w:eastAsia="宋体" w:hAnsi="宋体"/>
          <w:sz w:val="24"/>
          <w:szCs w:val="24"/>
        </w:rPr>
        <w:t>REITs</w:t>
      </w:r>
      <w:r>
        <w:rPr>
          <w:rFonts w:ascii="宋体" w:eastAsia="宋体" w:hAnsi="宋体"/>
          <w:sz w:val="24"/>
          <w:szCs w:val="24"/>
        </w:rPr>
        <w:t>）业务办法（试行）</w:t>
      </w:r>
      <w:r>
        <w:rPr>
          <w:rFonts w:ascii="宋体" w:eastAsia="宋体" w:hAnsi="宋体" w:hint="eastAsia"/>
          <w:sz w:val="24"/>
          <w:szCs w:val="24"/>
        </w:rPr>
        <w:t>》、《上海证券交易所公开募集基础设施证券投资基金（</w:t>
      </w:r>
      <w:r>
        <w:rPr>
          <w:rFonts w:ascii="宋体" w:eastAsia="宋体" w:hAnsi="宋体"/>
          <w:sz w:val="24"/>
          <w:szCs w:val="24"/>
        </w:rPr>
        <w:t>REITs</w:t>
      </w:r>
      <w:r>
        <w:rPr>
          <w:rFonts w:ascii="宋体" w:eastAsia="宋体" w:hAnsi="宋体"/>
          <w:sz w:val="24"/>
          <w:szCs w:val="24"/>
        </w:rPr>
        <w:t>）规则适用指引第</w:t>
      </w:r>
      <w:r>
        <w:rPr>
          <w:rFonts w:ascii="宋体" w:eastAsia="宋体" w:hAnsi="宋体"/>
          <w:sz w:val="24"/>
          <w:szCs w:val="24"/>
        </w:rPr>
        <w:t>2</w:t>
      </w:r>
      <w:r>
        <w:rPr>
          <w:rFonts w:ascii="宋体" w:eastAsia="宋体" w:hAnsi="宋体"/>
          <w:sz w:val="24"/>
          <w:szCs w:val="24"/>
        </w:rPr>
        <w:t>号</w:t>
      </w:r>
      <w:r>
        <w:rPr>
          <w:rFonts w:ascii="宋体" w:eastAsia="宋体" w:hAnsi="宋体" w:hint="eastAsia"/>
          <w:sz w:val="24"/>
          <w:szCs w:val="24"/>
        </w:rPr>
        <w:t>——</w:t>
      </w:r>
      <w:r>
        <w:rPr>
          <w:rFonts w:ascii="宋体" w:eastAsia="宋体" w:hAnsi="宋体"/>
          <w:sz w:val="24"/>
          <w:szCs w:val="24"/>
        </w:rPr>
        <w:t>发售业务（试行）</w:t>
      </w:r>
      <w:r>
        <w:rPr>
          <w:rFonts w:ascii="宋体" w:eastAsia="宋体" w:hAnsi="宋体" w:hint="eastAsia"/>
          <w:sz w:val="24"/>
          <w:szCs w:val="24"/>
        </w:rPr>
        <w:t>》及《公开募集基础设施证券投资基金网下投资</w:t>
      </w:r>
      <w:r>
        <w:rPr>
          <w:rFonts w:ascii="宋体" w:eastAsia="宋体" w:hAnsi="宋体" w:hint="eastAsia"/>
          <w:sz w:val="24"/>
          <w:szCs w:val="24"/>
        </w:rPr>
        <w:t>者管理细则》等；已熟知网下投资者应遵守的规则和行为规范；已熟知贵公司关于本次基金网下询价及认购业务的网下投资者条件及要求。本机构</w:t>
      </w:r>
      <w:r>
        <w:rPr>
          <w:rFonts w:ascii="宋体" w:eastAsia="宋体" w:hAnsi="宋体" w:cs="Segoe UI"/>
          <w:color w:val="000000"/>
          <w:kern w:val="0"/>
          <w:sz w:val="24"/>
          <w:szCs w:val="24"/>
          <w:lang w:val="en"/>
        </w:rPr>
        <w:t>具备</w:t>
      </w:r>
      <w:r>
        <w:rPr>
          <w:rFonts w:ascii="宋体" w:eastAsia="宋体" w:hAnsi="宋体" w:cs="Segoe UI" w:hint="eastAsia"/>
          <w:color w:val="000000"/>
          <w:kern w:val="0"/>
          <w:sz w:val="24"/>
          <w:szCs w:val="24"/>
          <w:lang w:val="en"/>
        </w:rPr>
        <w:t>基础设施证券投资基金</w:t>
      </w:r>
      <w:r>
        <w:rPr>
          <w:rFonts w:ascii="宋体" w:eastAsia="宋体" w:hAnsi="宋体" w:cs="Segoe UI"/>
          <w:color w:val="000000"/>
          <w:kern w:val="0"/>
          <w:sz w:val="24"/>
          <w:szCs w:val="24"/>
          <w:lang w:val="en"/>
        </w:rPr>
        <w:t>网下投资资格，符合法律、法规、相关规范性文件以及</w:t>
      </w:r>
      <w:r>
        <w:rPr>
          <w:rFonts w:ascii="宋体" w:eastAsia="宋体" w:hAnsi="宋体" w:hint="eastAsia"/>
          <w:sz w:val="24"/>
          <w:szCs w:val="24"/>
        </w:rPr>
        <w:t>贵公司</w:t>
      </w:r>
      <w:r>
        <w:rPr>
          <w:rFonts w:ascii="宋体" w:eastAsia="宋体" w:hAnsi="宋体" w:cs="Segoe UI"/>
          <w:color w:val="000000"/>
          <w:kern w:val="0"/>
          <w:sz w:val="24"/>
          <w:szCs w:val="24"/>
          <w:lang w:val="en"/>
        </w:rPr>
        <w:t>规定的所有条件</w:t>
      </w:r>
      <w:r>
        <w:rPr>
          <w:rFonts w:ascii="宋体" w:eastAsia="宋体" w:hAnsi="宋体" w:cs="Segoe UI" w:hint="eastAsia"/>
          <w:color w:val="000000"/>
          <w:kern w:val="0"/>
          <w:sz w:val="24"/>
          <w:szCs w:val="24"/>
          <w:lang w:val="en"/>
        </w:rPr>
        <w:t>，</w:t>
      </w:r>
      <w:r>
        <w:rPr>
          <w:rFonts w:ascii="宋体" w:eastAsia="宋体" w:hAnsi="宋体"/>
          <w:sz w:val="24"/>
          <w:szCs w:val="24"/>
        </w:rPr>
        <w:t>确保</w:t>
      </w:r>
      <w:r>
        <w:rPr>
          <w:rFonts w:ascii="宋体" w:eastAsia="宋体" w:hAnsi="宋体" w:cs="Segoe UI" w:hint="eastAsia"/>
          <w:color w:val="000000"/>
          <w:kern w:val="0"/>
          <w:sz w:val="24"/>
          <w:szCs w:val="24"/>
          <w:lang w:val="en"/>
        </w:rPr>
        <w:t>符合</w:t>
      </w:r>
      <w:r>
        <w:rPr>
          <w:rFonts w:ascii="宋体" w:eastAsia="宋体" w:hAnsi="宋体" w:cs="Segoe UI"/>
          <w:color w:val="000000"/>
          <w:kern w:val="0"/>
          <w:sz w:val="24"/>
          <w:szCs w:val="24"/>
          <w:lang w:val="en"/>
        </w:rPr>
        <w:t>证券业协会《</w:t>
      </w:r>
      <w:r>
        <w:rPr>
          <w:rFonts w:ascii="宋体" w:eastAsia="宋体" w:hAnsi="宋体" w:cs="Segoe UI" w:hint="eastAsia"/>
          <w:color w:val="000000"/>
          <w:kern w:val="0"/>
          <w:sz w:val="24"/>
          <w:szCs w:val="24"/>
          <w:lang w:val="en"/>
        </w:rPr>
        <w:t>公开募集基础设施证券投资基金网下投资者管理细则</w:t>
      </w:r>
      <w:r>
        <w:rPr>
          <w:rFonts w:ascii="宋体" w:eastAsia="宋体" w:hAnsi="宋体" w:cs="Segoe UI"/>
          <w:color w:val="000000"/>
          <w:kern w:val="0"/>
          <w:sz w:val="24"/>
          <w:szCs w:val="24"/>
          <w:lang w:val="en"/>
        </w:rPr>
        <w:t>》</w:t>
      </w:r>
      <w:r>
        <w:rPr>
          <w:rFonts w:ascii="宋体" w:eastAsia="宋体" w:hAnsi="宋体" w:cs="Segoe UI" w:hint="eastAsia"/>
          <w:color w:val="000000"/>
          <w:kern w:val="0"/>
          <w:sz w:val="24"/>
          <w:szCs w:val="24"/>
          <w:lang w:val="en"/>
        </w:rPr>
        <w:t>第五条的适当性要求</w:t>
      </w:r>
      <w:r>
        <w:rPr>
          <w:rFonts w:ascii="宋体" w:eastAsia="宋体" w:hAnsi="宋体" w:cs="Segoe UI"/>
          <w:color w:val="000000"/>
          <w:kern w:val="0"/>
          <w:sz w:val="24"/>
          <w:szCs w:val="24"/>
          <w:lang w:val="en"/>
        </w:rPr>
        <w:t>。</w:t>
      </w:r>
    </w:p>
    <w:p w14:paraId="404E9731" w14:textId="77777777" w:rsidR="00D4346E" w:rsidRDefault="00F32334">
      <w:pPr>
        <w:pStyle w:val="ad"/>
        <w:numPr>
          <w:ilvl w:val="0"/>
          <w:numId w:val="1"/>
        </w:numPr>
        <w:spacing w:before="240" w:line="360" w:lineRule="auto"/>
        <w:ind w:left="0" w:firstLine="480"/>
        <w:rPr>
          <w:rFonts w:ascii="宋体" w:eastAsia="宋体" w:hAnsi="宋体"/>
          <w:sz w:val="24"/>
          <w:szCs w:val="24"/>
        </w:rPr>
      </w:pPr>
      <w:r>
        <w:rPr>
          <w:rFonts w:ascii="宋体" w:eastAsia="宋体" w:hAnsi="宋体" w:hint="eastAsia"/>
          <w:sz w:val="24"/>
          <w:szCs w:val="24"/>
        </w:rPr>
        <w:t>本机构自愿参与本基金网下询价及认购业务，并严格遵守</w:t>
      </w:r>
      <w:r>
        <w:rPr>
          <w:rFonts w:ascii="宋体" w:eastAsia="宋体" w:hAnsi="宋体" w:cs="Segoe UI"/>
          <w:color w:val="000000"/>
          <w:kern w:val="0"/>
          <w:sz w:val="24"/>
          <w:szCs w:val="24"/>
          <w:lang w:val="en"/>
        </w:rPr>
        <w:t>与</w:t>
      </w:r>
      <w:r>
        <w:rPr>
          <w:rFonts w:ascii="宋体" w:eastAsia="宋体" w:hAnsi="宋体" w:cs="Segoe UI" w:hint="eastAsia"/>
          <w:color w:val="000000"/>
          <w:kern w:val="0"/>
          <w:sz w:val="24"/>
          <w:szCs w:val="24"/>
          <w:lang w:val="en"/>
        </w:rPr>
        <w:t>基础设施证券投资基金</w:t>
      </w:r>
      <w:r>
        <w:rPr>
          <w:rFonts w:ascii="宋体" w:eastAsia="宋体" w:hAnsi="宋体" w:cs="Segoe UI"/>
          <w:color w:val="000000"/>
          <w:kern w:val="0"/>
          <w:sz w:val="24"/>
          <w:szCs w:val="24"/>
          <w:lang w:val="en"/>
        </w:rPr>
        <w:t>发行相关的</w:t>
      </w:r>
      <w:r>
        <w:rPr>
          <w:rFonts w:ascii="宋体" w:eastAsia="宋体" w:hAnsi="宋体" w:hint="eastAsia"/>
          <w:sz w:val="24"/>
          <w:szCs w:val="24"/>
        </w:rPr>
        <w:t>法律法规、业务规则、自律规则和行为规范，做到独立客观、诚实守信、勤勉尽责、专业审慎。本机构</w:t>
      </w:r>
      <w:r>
        <w:rPr>
          <w:rFonts w:ascii="宋体" w:eastAsia="宋体" w:hAnsi="宋体" w:cs="Segoe UI"/>
          <w:color w:val="000000"/>
          <w:kern w:val="0"/>
          <w:sz w:val="24"/>
          <w:szCs w:val="24"/>
          <w:lang w:val="en"/>
        </w:rPr>
        <w:t>确保不存在禁止参与</w:t>
      </w:r>
      <w:r>
        <w:rPr>
          <w:rFonts w:ascii="宋体" w:eastAsia="宋体" w:hAnsi="宋体" w:cs="Segoe UI" w:hint="eastAsia"/>
          <w:color w:val="000000"/>
          <w:kern w:val="0"/>
          <w:sz w:val="24"/>
          <w:szCs w:val="24"/>
          <w:lang w:val="en"/>
        </w:rPr>
        <w:t>基础设施证</w:t>
      </w:r>
      <w:r>
        <w:rPr>
          <w:rFonts w:ascii="宋体" w:eastAsia="宋体" w:hAnsi="宋体" w:cs="Segoe UI" w:hint="eastAsia"/>
          <w:color w:val="000000"/>
          <w:kern w:val="0"/>
          <w:sz w:val="24"/>
          <w:szCs w:val="24"/>
          <w:lang w:val="en"/>
        </w:rPr>
        <w:t>券投资基金网下询价和认购业务</w:t>
      </w:r>
      <w:r>
        <w:rPr>
          <w:rFonts w:ascii="宋体" w:eastAsia="宋体" w:hAnsi="宋体" w:cs="Segoe UI"/>
          <w:color w:val="000000"/>
          <w:kern w:val="0"/>
          <w:sz w:val="24"/>
          <w:szCs w:val="24"/>
          <w:lang w:val="en"/>
        </w:rPr>
        <w:t>的情形</w:t>
      </w:r>
      <w:r>
        <w:rPr>
          <w:rFonts w:ascii="宋体" w:eastAsia="宋体" w:hAnsi="宋体" w:cs="Segoe UI" w:hint="eastAsia"/>
          <w:color w:val="000000"/>
          <w:kern w:val="0"/>
          <w:sz w:val="24"/>
          <w:szCs w:val="24"/>
          <w:lang w:val="en"/>
        </w:rPr>
        <w:t>。</w:t>
      </w:r>
    </w:p>
    <w:p w14:paraId="220AFD48" w14:textId="77777777" w:rsidR="00D4346E" w:rsidRDefault="00F32334">
      <w:pPr>
        <w:pStyle w:val="ad"/>
        <w:numPr>
          <w:ilvl w:val="0"/>
          <w:numId w:val="1"/>
        </w:numPr>
        <w:spacing w:before="240" w:line="360" w:lineRule="auto"/>
        <w:ind w:left="0" w:firstLine="480"/>
        <w:rPr>
          <w:rFonts w:ascii="宋体" w:eastAsia="宋体" w:hAnsi="宋体"/>
          <w:sz w:val="24"/>
          <w:szCs w:val="24"/>
        </w:rPr>
      </w:pPr>
      <w:r>
        <w:rPr>
          <w:rFonts w:ascii="宋体" w:eastAsia="宋体" w:hAnsi="宋体" w:cs="Segoe UI"/>
          <w:color w:val="000000"/>
          <w:kern w:val="0"/>
          <w:sz w:val="24"/>
          <w:szCs w:val="24"/>
          <w:lang w:val="en"/>
        </w:rPr>
        <w:t>本机构已自行进行关联方比对</w:t>
      </w:r>
      <w:r>
        <w:rPr>
          <w:rFonts w:ascii="宋体" w:eastAsia="宋体" w:hAnsi="宋体" w:cs="Segoe UI" w:hint="eastAsia"/>
          <w:color w:val="000000"/>
          <w:kern w:val="0"/>
          <w:sz w:val="24"/>
          <w:szCs w:val="24"/>
          <w:lang w:val="en"/>
        </w:rPr>
        <w:t>和其他相关信息比对</w:t>
      </w:r>
      <w:r>
        <w:rPr>
          <w:rFonts w:ascii="宋体" w:eastAsia="宋体" w:hAnsi="宋体" w:cs="Segoe UI"/>
          <w:color w:val="000000"/>
          <w:kern w:val="0"/>
          <w:sz w:val="24"/>
          <w:szCs w:val="24"/>
          <w:lang w:val="en"/>
        </w:rPr>
        <w:t>，</w:t>
      </w:r>
      <w:r>
        <w:rPr>
          <w:rFonts w:ascii="宋体" w:eastAsia="宋体" w:hAnsi="宋体" w:cs="Segoe UI" w:hint="eastAsia"/>
          <w:color w:val="000000"/>
          <w:kern w:val="0"/>
          <w:sz w:val="24"/>
          <w:szCs w:val="24"/>
          <w:lang w:val="en"/>
        </w:rPr>
        <w:t>确保</w:t>
      </w:r>
      <w:r>
        <w:rPr>
          <w:rFonts w:ascii="宋体" w:eastAsia="宋体" w:hAnsi="宋体" w:hint="eastAsia"/>
          <w:sz w:val="24"/>
          <w:szCs w:val="24"/>
        </w:rPr>
        <w:t>本机构及管理的配售对象不属于如下情形：</w:t>
      </w:r>
    </w:p>
    <w:p w14:paraId="1AA37BC4" w14:textId="11B0B283" w:rsidR="00D4346E" w:rsidRDefault="00F32334">
      <w:pPr>
        <w:spacing w:line="360" w:lineRule="auto"/>
        <w:ind w:firstLineChars="200" w:firstLine="480"/>
        <w:contextualSpacing/>
        <w:rPr>
          <w:rFonts w:ascii="Times New Roman" w:eastAsia="宋体" w:hAnsi="Times New Roman" w:cs="Times New Roman"/>
          <w:kern w:val="0"/>
          <w:sz w:val="24"/>
          <w:szCs w:val="24"/>
        </w:rPr>
      </w:pPr>
      <w:r>
        <w:rPr>
          <w:rFonts w:ascii="Times New Roman" w:eastAsia="宋体" w:hAnsi="Times New Roman" w:cs="Times New Roman"/>
          <w:kern w:val="0"/>
          <w:sz w:val="24"/>
          <w:szCs w:val="24"/>
        </w:rPr>
        <w:t>（</w:t>
      </w: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）原始权益人</w:t>
      </w:r>
      <w:r>
        <w:rPr>
          <w:rFonts w:ascii="Times New Roman" w:eastAsia="宋体" w:hAnsi="Times New Roman" w:cs="Times New Roman" w:hint="eastAsia"/>
          <w:bCs/>
          <w:kern w:val="0"/>
          <w:sz w:val="24"/>
        </w:rPr>
        <w:t>及其</w:t>
      </w:r>
      <w:r>
        <w:rPr>
          <w:rFonts w:ascii="Times New Roman" w:eastAsia="宋体" w:hAnsi="Times New Roman" w:cs="Times New Roman" w:hint="eastAsia"/>
          <w:bCs/>
          <w:kern w:val="0"/>
          <w:sz w:val="24"/>
        </w:rPr>
        <w:t>关联方</w:t>
      </w:r>
      <w:r>
        <w:rPr>
          <w:rFonts w:ascii="Times New Roman" w:eastAsia="宋体" w:hAnsi="Times New Roman" w:cs="Times New Roman"/>
          <w:kern w:val="0"/>
          <w:sz w:val="24"/>
          <w:szCs w:val="24"/>
        </w:rPr>
        <w:t>、基金管理人、</w:t>
      </w:r>
      <w:r>
        <w:rPr>
          <w:rFonts w:ascii="Times New Roman" w:eastAsia="宋体" w:hAnsi="Times New Roman" w:cs="Times New Roman" w:hint="eastAsia"/>
          <w:kern w:val="0"/>
          <w:sz w:val="24"/>
          <w:szCs w:val="24"/>
        </w:rPr>
        <w:t>财务顾问、</w:t>
      </w:r>
      <w:r>
        <w:rPr>
          <w:rFonts w:ascii="Times New Roman" w:eastAsia="宋体" w:hAnsi="Times New Roman" w:cs="Times New Roman"/>
          <w:kern w:val="0"/>
          <w:sz w:val="24"/>
          <w:szCs w:val="24"/>
        </w:rPr>
        <w:t>战略投资者以及其他与定价存在利益冲突的主体</w:t>
      </w:r>
      <w:r>
        <w:rPr>
          <w:rFonts w:ascii="Times New Roman" w:eastAsia="宋体" w:hAnsi="Times New Roman" w:cs="Times New Roman" w:hint="eastAsia"/>
          <w:kern w:val="0"/>
          <w:sz w:val="24"/>
          <w:szCs w:val="24"/>
        </w:rPr>
        <w:t>；</w:t>
      </w:r>
    </w:p>
    <w:p w14:paraId="7D730278" w14:textId="77777777" w:rsidR="00067200" w:rsidRPr="00067200" w:rsidRDefault="00067200" w:rsidP="00067200">
      <w:pPr>
        <w:spacing w:line="360" w:lineRule="auto"/>
        <w:ind w:firstLineChars="200" w:firstLine="480"/>
        <w:contextualSpacing/>
        <w:rPr>
          <w:rFonts w:ascii="Times New Roman" w:eastAsia="宋体" w:hAnsi="Times New Roman" w:cs="Times New Roman"/>
          <w:kern w:val="0"/>
          <w:sz w:val="24"/>
          <w:szCs w:val="24"/>
        </w:rPr>
      </w:pPr>
      <w:r w:rsidRPr="00067200">
        <w:rPr>
          <w:rFonts w:ascii="Times New Roman" w:eastAsia="宋体" w:hAnsi="Times New Roman" w:cs="Times New Roman" w:hint="eastAsia"/>
          <w:kern w:val="0"/>
          <w:sz w:val="24"/>
          <w:szCs w:val="24"/>
        </w:rPr>
        <w:t>（</w:t>
      </w:r>
      <w:r w:rsidRPr="00067200">
        <w:rPr>
          <w:rFonts w:ascii="Times New Roman" w:eastAsia="宋体" w:hAnsi="Times New Roman" w:cs="Times New Roman"/>
          <w:kern w:val="0"/>
          <w:sz w:val="24"/>
          <w:szCs w:val="24"/>
        </w:rPr>
        <w:t>2</w:t>
      </w:r>
      <w:r w:rsidRPr="00067200">
        <w:rPr>
          <w:rFonts w:ascii="Times New Roman" w:eastAsia="宋体" w:hAnsi="Times New Roman" w:cs="Times New Roman"/>
          <w:kern w:val="0"/>
          <w:sz w:val="24"/>
          <w:szCs w:val="24"/>
        </w:rPr>
        <w:t>）原始权益人的关联自然人，包括：</w:t>
      </w:r>
      <w:r w:rsidRPr="00067200">
        <w:rPr>
          <w:rFonts w:ascii="Times New Roman" w:eastAsia="宋体" w:hAnsi="Times New Roman" w:cs="Times New Roman"/>
          <w:kern w:val="0"/>
          <w:sz w:val="24"/>
          <w:szCs w:val="24"/>
        </w:rPr>
        <w:t>1</w:t>
      </w:r>
      <w:r w:rsidRPr="00067200">
        <w:rPr>
          <w:rFonts w:ascii="Times New Roman" w:eastAsia="宋体" w:hAnsi="Times New Roman" w:cs="Times New Roman"/>
          <w:kern w:val="0"/>
          <w:sz w:val="24"/>
          <w:szCs w:val="24"/>
        </w:rPr>
        <w:t>）直接或间接持有原始权益人</w:t>
      </w:r>
      <w:r w:rsidRPr="00067200">
        <w:rPr>
          <w:rFonts w:ascii="Times New Roman" w:eastAsia="宋体" w:hAnsi="Times New Roman" w:cs="Times New Roman"/>
          <w:kern w:val="0"/>
          <w:sz w:val="24"/>
          <w:szCs w:val="24"/>
        </w:rPr>
        <w:t>5%</w:t>
      </w:r>
      <w:r w:rsidRPr="00067200">
        <w:rPr>
          <w:rFonts w:ascii="Times New Roman" w:eastAsia="宋体" w:hAnsi="Times New Roman" w:cs="Times New Roman"/>
          <w:kern w:val="0"/>
          <w:sz w:val="24"/>
          <w:szCs w:val="24"/>
        </w:rPr>
        <w:t>以上股份的自然人；</w:t>
      </w:r>
      <w:r w:rsidRPr="00067200">
        <w:rPr>
          <w:rFonts w:ascii="Times New Roman" w:eastAsia="宋体" w:hAnsi="Times New Roman" w:cs="Times New Roman"/>
          <w:kern w:val="0"/>
          <w:sz w:val="24"/>
          <w:szCs w:val="24"/>
        </w:rPr>
        <w:t>2</w:t>
      </w:r>
      <w:r w:rsidRPr="00067200">
        <w:rPr>
          <w:rFonts w:ascii="Times New Roman" w:eastAsia="宋体" w:hAnsi="Times New Roman" w:cs="Times New Roman"/>
          <w:kern w:val="0"/>
          <w:sz w:val="24"/>
          <w:szCs w:val="24"/>
        </w:rPr>
        <w:t>）原始权益人的董事、监事和高级管理人员；</w:t>
      </w:r>
      <w:r w:rsidRPr="00067200">
        <w:rPr>
          <w:rFonts w:ascii="Times New Roman" w:eastAsia="宋体" w:hAnsi="Times New Roman" w:cs="Times New Roman"/>
          <w:kern w:val="0"/>
          <w:sz w:val="24"/>
          <w:szCs w:val="24"/>
        </w:rPr>
        <w:t>3</w:t>
      </w:r>
      <w:r w:rsidRPr="00067200">
        <w:rPr>
          <w:rFonts w:ascii="Times New Roman" w:eastAsia="宋体" w:hAnsi="Times New Roman" w:cs="Times New Roman"/>
          <w:kern w:val="0"/>
          <w:sz w:val="24"/>
          <w:szCs w:val="24"/>
        </w:rPr>
        <w:t>）直接或间接控制原始权益人的法人或其他组织的董事、监事和高级管理人员；</w:t>
      </w:r>
      <w:r w:rsidRPr="00067200">
        <w:rPr>
          <w:rFonts w:ascii="Times New Roman" w:eastAsia="宋体" w:hAnsi="Times New Roman" w:cs="Times New Roman"/>
          <w:kern w:val="0"/>
          <w:sz w:val="24"/>
          <w:szCs w:val="24"/>
        </w:rPr>
        <w:t>4</w:t>
      </w:r>
      <w:r w:rsidRPr="00067200">
        <w:rPr>
          <w:rFonts w:ascii="Times New Roman" w:eastAsia="宋体" w:hAnsi="Times New Roman" w:cs="Times New Roman"/>
          <w:kern w:val="0"/>
          <w:sz w:val="24"/>
          <w:szCs w:val="24"/>
        </w:rPr>
        <w:t>）上述</w:t>
      </w:r>
      <w:r w:rsidRPr="00067200">
        <w:rPr>
          <w:rFonts w:ascii="Times New Roman" w:eastAsia="宋体" w:hAnsi="Times New Roman" w:cs="Times New Roman"/>
          <w:kern w:val="0"/>
          <w:sz w:val="24"/>
          <w:szCs w:val="24"/>
        </w:rPr>
        <w:t>1</w:t>
      </w:r>
      <w:r w:rsidRPr="00067200">
        <w:rPr>
          <w:rFonts w:ascii="Times New Roman" w:eastAsia="宋体" w:hAnsi="Times New Roman" w:cs="Times New Roman"/>
          <w:kern w:val="0"/>
          <w:sz w:val="24"/>
          <w:szCs w:val="24"/>
        </w:rPr>
        <w:t>）及</w:t>
      </w:r>
      <w:r w:rsidRPr="00067200">
        <w:rPr>
          <w:rFonts w:ascii="Times New Roman" w:eastAsia="宋体" w:hAnsi="Times New Roman" w:cs="Times New Roman"/>
          <w:kern w:val="0"/>
          <w:sz w:val="24"/>
          <w:szCs w:val="24"/>
        </w:rPr>
        <w:t>2</w:t>
      </w:r>
      <w:r w:rsidRPr="00067200">
        <w:rPr>
          <w:rFonts w:ascii="Times New Roman" w:eastAsia="宋体" w:hAnsi="Times New Roman" w:cs="Times New Roman"/>
          <w:kern w:val="0"/>
          <w:sz w:val="24"/>
          <w:szCs w:val="24"/>
        </w:rPr>
        <w:t>）中所述人士的关系密切的家庭成员，</w:t>
      </w:r>
      <w:r w:rsidRPr="00067200">
        <w:rPr>
          <w:rFonts w:ascii="Times New Roman" w:eastAsia="宋体" w:hAnsi="Times New Roman" w:cs="Times New Roman"/>
          <w:kern w:val="0"/>
          <w:sz w:val="24"/>
          <w:szCs w:val="24"/>
        </w:rPr>
        <w:lastRenderedPageBreak/>
        <w:t>包括配偶、年满</w:t>
      </w:r>
      <w:r w:rsidRPr="00067200">
        <w:rPr>
          <w:rFonts w:ascii="Times New Roman" w:eastAsia="宋体" w:hAnsi="Times New Roman" w:cs="Times New Roman"/>
          <w:kern w:val="0"/>
          <w:sz w:val="24"/>
          <w:szCs w:val="24"/>
        </w:rPr>
        <w:t xml:space="preserve">18 </w:t>
      </w:r>
      <w:r w:rsidRPr="00067200">
        <w:rPr>
          <w:rFonts w:ascii="Times New Roman" w:eastAsia="宋体" w:hAnsi="Times New Roman" w:cs="Times New Roman"/>
          <w:kern w:val="0"/>
          <w:sz w:val="24"/>
          <w:szCs w:val="24"/>
        </w:rPr>
        <w:t>周岁的子女及其配偶、父母及配偶的父母、兄弟姐妹及其配偶、配偶的兄弟姐妹、子女配偶的父母；</w:t>
      </w:r>
      <w:r w:rsidRPr="00067200">
        <w:rPr>
          <w:rFonts w:ascii="Times New Roman" w:eastAsia="宋体" w:hAnsi="Times New Roman" w:cs="Times New Roman"/>
          <w:kern w:val="0"/>
          <w:sz w:val="24"/>
          <w:szCs w:val="24"/>
        </w:rPr>
        <w:t>5</w:t>
      </w:r>
      <w:r w:rsidRPr="00067200">
        <w:rPr>
          <w:rFonts w:ascii="Times New Roman" w:eastAsia="宋体" w:hAnsi="Times New Roman" w:cs="Times New Roman"/>
          <w:kern w:val="0"/>
          <w:sz w:val="24"/>
          <w:szCs w:val="24"/>
        </w:rPr>
        <w:t>）证监会、上交所或原始权益人根据实质重于形式原则认定的其他与原始权益人有特殊关系，可能导致原始权益人利益对其倾斜的自然人；</w:t>
      </w:r>
    </w:p>
    <w:p w14:paraId="552325F2" w14:textId="116C97BE" w:rsidR="00D4346E" w:rsidRDefault="00067200" w:rsidP="00067200">
      <w:pPr>
        <w:spacing w:line="360" w:lineRule="auto"/>
        <w:ind w:firstLineChars="200" w:firstLine="480"/>
        <w:contextualSpacing/>
        <w:rPr>
          <w:rFonts w:ascii="Times New Roman" w:eastAsia="宋体" w:hAnsi="Times New Roman" w:cs="Times New Roman"/>
          <w:kern w:val="0"/>
          <w:sz w:val="24"/>
          <w:szCs w:val="24"/>
        </w:rPr>
      </w:pPr>
      <w:r w:rsidRPr="00067200">
        <w:rPr>
          <w:rFonts w:ascii="Times New Roman" w:eastAsia="宋体" w:hAnsi="Times New Roman" w:cs="Times New Roman" w:hint="eastAsia"/>
          <w:kern w:val="0"/>
          <w:sz w:val="24"/>
          <w:szCs w:val="24"/>
        </w:rPr>
        <w:t>（</w:t>
      </w:r>
      <w:r w:rsidRPr="00067200">
        <w:rPr>
          <w:rFonts w:ascii="Times New Roman" w:eastAsia="宋体" w:hAnsi="Times New Roman" w:cs="Times New Roman"/>
          <w:kern w:val="0"/>
          <w:sz w:val="24"/>
          <w:szCs w:val="24"/>
        </w:rPr>
        <w:t>3</w:t>
      </w:r>
      <w:r w:rsidRPr="00067200">
        <w:rPr>
          <w:rFonts w:ascii="Times New Roman" w:eastAsia="宋体" w:hAnsi="Times New Roman" w:cs="Times New Roman"/>
          <w:kern w:val="0"/>
          <w:sz w:val="24"/>
          <w:szCs w:val="24"/>
        </w:rPr>
        <w:t>）原始权益人的关联法人，包括：</w:t>
      </w:r>
      <w:r w:rsidRPr="00067200">
        <w:rPr>
          <w:rFonts w:ascii="Times New Roman" w:eastAsia="宋体" w:hAnsi="Times New Roman" w:cs="Times New Roman"/>
          <w:kern w:val="0"/>
          <w:sz w:val="24"/>
          <w:szCs w:val="24"/>
        </w:rPr>
        <w:t>1</w:t>
      </w:r>
      <w:r w:rsidRPr="00067200">
        <w:rPr>
          <w:rFonts w:ascii="Times New Roman" w:eastAsia="宋体" w:hAnsi="Times New Roman" w:cs="Times New Roman"/>
          <w:kern w:val="0"/>
          <w:sz w:val="24"/>
          <w:szCs w:val="24"/>
        </w:rPr>
        <w:t>）直接或间接控制原始权益人的法人或其他组织；</w:t>
      </w:r>
      <w:r w:rsidRPr="00067200">
        <w:rPr>
          <w:rFonts w:ascii="Times New Roman" w:eastAsia="宋体" w:hAnsi="Times New Roman" w:cs="Times New Roman"/>
          <w:kern w:val="0"/>
          <w:sz w:val="24"/>
          <w:szCs w:val="24"/>
        </w:rPr>
        <w:t>2</w:t>
      </w:r>
      <w:r w:rsidRPr="00067200">
        <w:rPr>
          <w:rFonts w:ascii="Times New Roman" w:eastAsia="宋体" w:hAnsi="Times New Roman" w:cs="Times New Roman"/>
          <w:kern w:val="0"/>
          <w:sz w:val="24"/>
          <w:szCs w:val="24"/>
        </w:rPr>
        <w:t>）上述主体直接或者间接控制的除原始权益人及其控股子公司以外的法人或其他组织；</w:t>
      </w:r>
      <w:r w:rsidRPr="00067200">
        <w:rPr>
          <w:rFonts w:ascii="Times New Roman" w:eastAsia="宋体" w:hAnsi="Times New Roman" w:cs="Times New Roman"/>
          <w:kern w:val="0"/>
          <w:sz w:val="24"/>
          <w:szCs w:val="24"/>
        </w:rPr>
        <w:t>3</w:t>
      </w:r>
      <w:r w:rsidRPr="00067200">
        <w:rPr>
          <w:rFonts w:ascii="Times New Roman" w:eastAsia="宋体" w:hAnsi="Times New Roman" w:cs="Times New Roman"/>
          <w:kern w:val="0"/>
          <w:sz w:val="24"/>
          <w:szCs w:val="24"/>
        </w:rPr>
        <w:t>）关联自然人直接或者间接控制的，或者由关联自然人担任董事、高级管理人员的除原始权益人及其控股子公司以外的法人或其他组织；</w:t>
      </w:r>
      <w:r w:rsidRPr="00067200">
        <w:rPr>
          <w:rFonts w:ascii="Times New Roman" w:eastAsia="宋体" w:hAnsi="Times New Roman" w:cs="Times New Roman"/>
          <w:kern w:val="0"/>
          <w:sz w:val="24"/>
          <w:szCs w:val="24"/>
        </w:rPr>
        <w:t>4</w:t>
      </w:r>
      <w:r w:rsidRPr="00067200">
        <w:rPr>
          <w:rFonts w:ascii="Times New Roman" w:eastAsia="宋体" w:hAnsi="Times New Roman" w:cs="Times New Roman"/>
          <w:kern w:val="0"/>
          <w:sz w:val="24"/>
          <w:szCs w:val="24"/>
        </w:rPr>
        <w:t>）持有原始权益人</w:t>
      </w:r>
      <w:r w:rsidRPr="00067200">
        <w:rPr>
          <w:rFonts w:ascii="Times New Roman" w:eastAsia="宋体" w:hAnsi="Times New Roman" w:cs="Times New Roman"/>
          <w:kern w:val="0"/>
          <w:sz w:val="24"/>
          <w:szCs w:val="24"/>
        </w:rPr>
        <w:t>5%</w:t>
      </w:r>
      <w:r w:rsidRPr="00067200">
        <w:rPr>
          <w:rFonts w:ascii="Times New Roman" w:eastAsia="宋体" w:hAnsi="Times New Roman" w:cs="Times New Roman"/>
          <w:kern w:val="0"/>
          <w:sz w:val="24"/>
          <w:szCs w:val="24"/>
        </w:rPr>
        <w:t>以上股份的法人或其他组织；</w:t>
      </w:r>
      <w:r w:rsidRPr="00067200">
        <w:rPr>
          <w:rFonts w:ascii="Times New Roman" w:eastAsia="宋体" w:hAnsi="Times New Roman" w:cs="Times New Roman"/>
          <w:kern w:val="0"/>
          <w:sz w:val="24"/>
          <w:szCs w:val="24"/>
        </w:rPr>
        <w:t>5</w:t>
      </w:r>
      <w:r w:rsidRPr="00067200">
        <w:rPr>
          <w:rFonts w:ascii="Times New Roman" w:eastAsia="宋体" w:hAnsi="Times New Roman" w:cs="Times New Roman"/>
          <w:kern w:val="0"/>
          <w:sz w:val="24"/>
          <w:szCs w:val="24"/>
        </w:rPr>
        <w:t>）证监会、上交所或原始权益人根据实质重于形式原则认定的其他与原始权益人有特殊关系，可能导致原始权益人利益对其倾斜的法人或其他组织；</w:t>
      </w:r>
    </w:p>
    <w:p w14:paraId="40738503" w14:textId="0E060DF2" w:rsidR="00D4346E" w:rsidRDefault="00F32334">
      <w:pPr>
        <w:spacing w:line="360" w:lineRule="auto"/>
        <w:ind w:firstLineChars="200" w:firstLine="480"/>
        <w:contextualSpacing/>
        <w:rPr>
          <w:rFonts w:ascii="Times New Roman" w:eastAsia="宋体" w:hAnsi="Times New Roman" w:cs="Times New Roman"/>
          <w:kern w:val="0"/>
          <w:sz w:val="24"/>
          <w:szCs w:val="24"/>
        </w:rPr>
      </w:pPr>
      <w:r>
        <w:rPr>
          <w:rFonts w:ascii="Times New Roman" w:eastAsia="宋体" w:hAnsi="Times New Roman" w:cs="Times New Roman"/>
          <w:kern w:val="0"/>
          <w:sz w:val="24"/>
          <w:szCs w:val="24"/>
        </w:rPr>
        <w:t>（</w:t>
      </w:r>
      <w:r w:rsidR="00067200">
        <w:rPr>
          <w:rFonts w:ascii="Times New Roman" w:eastAsia="宋体" w:hAnsi="Times New Roman" w:cs="Times New Roman"/>
          <w:kern w:val="0"/>
          <w:sz w:val="24"/>
          <w:szCs w:val="24"/>
        </w:rPr>
        <w:t>4</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在证券业协会公布的基础设施基金网下投资者黑名单中的机构</w:t>
      </w:r>
      <w:r>
        <w:rPr>
          <w:rFonts w:ascii="Times New Roman" w:eastAsia="宋体" w:hAnsi="Times New Roman" w:cs="Times New Roman"/>
          <w:kern w:val="0"/>
          <w:sz w:val="24"/>
          <w:szCs w:val="24"/>
        </w:rPr>
        <w:t>；</w:t>
      </w:r>
    </w:p>
    <w:p w14:paraId="2AC2A499" w14:textId="1C4A528A" w:rsidR="00D4346E" w:rsidRDefault="00F32334">
      <w:pPr>
        <w:spacing w:line="360" w:lineRule="auto"/>
        <w:ind w:firstLineChars="200" w:firstLine="480"/>
        <w:contextualSpacing/>
        <w:rPr>
          <w:rFonts w:ascii="Times New Roman" w:eastAsia="宋体" w:hAnsi="Times New Roman" w:cs="Times New Roman"/>
          <w:kern w:val="0"/>
          <w:sz w:val="24"/>
          <w:szCs w:val="24"/>
        </w:rPr>
      </w:pPr>
      <w:r>
        <w:rPr>
          <w:rFonts w:ascii="Times New Roman" w:eastAsia="宋体" w:hAnsi="Times New Roman" w:cs="Times New Roman"/>
          <w:kern w:val="0"/>
          <w:sz w:val="24"/>
          <w:szCs w:val="24"/>
        </w:rPr>
        <w:t>（</w:t>
      </w:r>
      <w:r w:rsidR="00067200">
        <w:rPr>
          <w:rFonts w:ascii="Times New Roman" w:eastAsia="宋体" w:hAnsi="Times New Roman" w:cs="Times New Roman"/>
          <w:kern w:val="0"/>
          <w:sz w:val="24"/>
          <w:szCs w:val="24"/>
        </w:rPr>
        <w:t>5</w:t>
      </w:r>
      <w:r>
        <w:rPr>
          <w:rFonts w:ascii="Times New Roman" w:eastAsia="宋体" w:hAnsi="Times New Roman" w:cs="Times New Roman"/>
          <w:kern w:val="0"/>
          <w:sz w:val="24"/>
          <w:szCs w:val="24"/>
        </w:rPr>
        <w:t>）通过配售可</w:t>
      </w:r>
      <w:r>
        <w:rPr>
          <w:rFonts w:ascii="Times New Roman" w:eastAsia="宋体" w:hAnsi="Times New Roman" w:cs="Times New Roman"/>
          <w:kern w:val="0"/>
          <w:sz w:val="24"/>
          <w:szCs w:val="24"/>
        </w:rPr>
        <w:t>能导致不当行为或不正当利益的</w:t>
      </w:r>
      <w:r>
        <w:rPr>
          <w:rFonts w:ascii="Times New Roman" w:eastAsia="宋体" w:hAnsi="Times New Roman" w:cs="Times New Roman" w:hint="eastAsia"/>
          <w:bCs/>
          <w:kern w:val="0"/>
          <w:sz w:val="24"/>
        </w:rPr>
        <w:t>其他自然人、法人和组织</w:t>
      </w:r>
      <w:r>
        <w:rPr>
          <w:rFonts w:ascii="Times New Roman" w:eastAsia="宋体" w:hAnsi="Times New Roman" w:cs="Times New Roman" w:hint="eastAsia"/>
          <w:kern w:val="0"/>
          <w:sz w:val="24"/>
          <w:szCs w:val="24"/>
        </w:rPr>
        <w:t>。</w:t>
      </w:r>
    </w:p>
    <w:p w14:paraId="083159A0" w14:textId="77777777" w:rsidR="00D4346E" w:rsidRDefault="00F32334">
      <w:pPr>
        <w:spacing w:line="360"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但</w:t>
      </w:r>
      <w:r>
        <w:rPr>
          <w:rFonts w:ascii="Times New Roman" w:eastAsia="宋体" w:hAnsi="Times New Roman" w:cs="Times New Roman"/>
          <w:kern w:val="0"/>
          <w:sz w:val="24"/>
          <w:szCs w:val="24"/>
        </w:rPr>
        <w:t>上述第（</w:t>
      </w: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）项中基金管理人</w:t>
      </w:r>
      <w:r>
        <w:rPr>
          <w:rFonts w:ascii="Times New Roman" w:eastAsia="宋体" w:hAnsi="Times New Roman" w:cs="Times New Roman" w:hint="eastAsia"/>
          <w:kern w:val="0"/>
          <w:sz w:val="24"/>
          <w:szCs w:val="24"/>
        </w:rPr>
        <w:t>或财务顾问</w:t>
      </w:r>
      <w:r>
        <w:rPr>
          <w:rFonts w:ascii="Times New Roman" w:eastAsia="宋体" w:hAnsi="Times New Roman" w:cs="Times New Roman"/>
          <w:kern w:val="0"/>
          <w:sz w:val="24"/>
          <w:szCs w:val="24"/>
        </w:rPr>
        <w:t>管理的公募证券投资基金、全国社会保障基金、基本养老保险基金和年金基金除外</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上述第（</w:t>
      </w: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）项中的战略投资者管理的依法设立且未参与本次战略配售的证券投资基金、理财产品和其他资产管理产品除外。</w:t>
      </w:r>
    </w:p>
    <w:p w14:paraId="296CDFD8" w14:textId="77777777" w:rsidR="00D4346E" w:rsidRDefault="00F32334">
      <w:pPr>
        <w:spacing w:line="360" w:lineRule="auto"/>
        <w:ind w:firstLineChars="200" w:firstLine="482"/>
        <w:rPr>
          <w:rFonts w:ascii="宋体" w:eastAsia="宋体" w:hAnsi="宋体" w:cs="Segoe UI"/>
          <w:b/>
          <w:bCs/>
          <w:color w:val="000000"/>
          <w:kern w:val="0"/>
          <w:sz w:val="24"/>
          <w:szCs w:val="24"/>
          <w:u w:val="single"/>
          <w:lang w:val="en"/>
        </w:rPr>
      </w:pPr>
      <w:r>
        <w:rPr>
          <w:rFonts w:ascii="宋体" w:eastAsia="宋体" w:hAnsi="宋体" w:cs="Segoe UI" w:hint="eastAsia"/>
          <w:b/>
          <w:bCs/>
          <w:color w:val="000000"/>
          <w:kern w:val="0"/>
          <w:sz w:val="24"/>
          <w:szCs w:val="24"/>
          <w:u w:val="single"/>
          <w:lang w:val="en"/>
        </w:rPr>
        <w:t>特别地，本机构声明：</w:t>
      </w:r>
    </w:p>
    <w:p w14:paraId="50D43503" w14:textId="5A9C02B2" w:rsidR="00D4346E" w:rsidRDefault="00F32334">
      <w:pPr>
        <w:spacing w:line="360" w:lineRule="auto"/>
        <w:ind w:firstLineChars="200" w:firstLine="482"/>
        <w:rPr>
          <w:rFonts w:ascii="宋体" w:eastAsia="宋体" w:hAnsi="宋体" w:cs="Segoe UI"/>
          <w:b/>
          <w:bCs/>
          <w:color w:val="000000"/>
          <w:kern w:val="0"/>
          <w:sz w:val="24"/>
          <w:szCs w:val="24"/>
          <w:u w:val="single"/>
          <w:lang w:val="en"/>
        </w:rPr>
      </w:pPr>
      <w:r>
        <w:rPr>
          <w:rFonts w:ascii="宋体" w:eastAsia="宋体" w:hAnsi="宋体" w:cs="Segoe UI" w:hint="eastAsia"/>
          <w:b/>
          <w:bCs/>
          <w:color w:val="000000"/>
          <w:kern w:val="0"/>
          <w:sz w:val="24"/>
          <w:szCs w:val="24"/>
          <w:u w:val="single"/>
          <w:lang w:val="en"/>
        </w:rPr>
        <w:t>除已明确在《</w:t>
      </w:r>
      <w:r w:rsidR="00547F6D" w:rsidRPr="00547F6D">
        <w:rPr>
          <w:rFonts w:ascii="宋体" w:eastAsia="宋体" w:hAnsi="宋体" w:cs="Segoe UI" w:hint="eastAsia"/>
          <w:b/>
          <w:bCs/>
          <w:color w:val="000000"/>
          <w:kern w:val="0"/>
          <w:sz w:val="24"/>
          <w:szCs w:val="24"/>
          <w:u w:val="single"/>
          <w:lang w:val="en"/>
        </w:rPr>
        <w:t>网下投资者关联方信息表</w:t>
      </w:r>
      <w:r>
        <w:rPr>
          <w:rFonts w:ascii="宋体" w:eastAsia="宋体" w:hAnsi="宋体" w:cs="Segoe UI" w:hint="eastAsia"/>
          <w:b/>
          <w:bCs/>
          <w:color w:val="000000"/>
          <w:kern w:val="0"/>
          <w:sz w:val="24"/>
          <w:szCs w:val="24"/>
          <w:u w:val="single"/>
          <w:lang w:val="en"/>
        </w:rPr>
        <w:t>》中披露的关联关系外，本机构与本基金原始权益人、基金管理人、财务顾问均不存在未在《</w:t>
      </w:r>
      <w:r w:rsidR="00547F6D" w:rsidRPr="00547F6D">
        <w:rPr>
          <w:rFonts w:ascii="宋体" w:eastAsia="宋体" w:hAnsi="宋体" w:cs="Segoe UI" w:hint="eastAsia"/>
          <w:b/>
          <w:bCs/>
          <w:color w:val="000000"/>
          <w:kern w:val="0"/>
          <w:sz w:val="24"/>
          <w:szCs w:val="24"/>
          <w:u w:val="single"/>
          <w:lang w:val="en"/>
        </w:rPr>
        <w:t>网下投资者关联方信息表</w:t>
      </w:r>
      <w:r>
        <w:rPr>
          <w:rFonts w:ascii="宋体" w:eastAsia="宋体" w:hAnsi="宋体" w:cs="Segoe UI" w:hint="eastAsia"/>
          <w:b/>
          <w:bCs/>
          <w:color w:val="000000"/>
          <w:kern w:val="0"/>
          <w:sz w:val="24"/>
          <w:szCs w:val="24"/>
          <w:u w:val="single"/>
          <w:lang w:val="en"/>
        </w:rPr>
        <w:t>》中披露的其他关联关系。</w:t>
      </w:r>
    </w:p>
    <w:p w14:paraId="4E11B812" w14:textId="2E205D47" w:rsidR="00D4346E" w:rsidRDefault="00F32334">
      <w:pPr>
        <w:widowControl/>
        <w:spacing w:line="360" w:lineRule="auto"/>
        <w:ind w:firstLineChars="200" w:firstLine="482"/>
        <w:rPr>
          <w:rFonts w:ascii="宋体" w:eastAsia="宋体" w:hAnsi="宋体"/>
          <w:b/>
          <w:bCs/>
          <w:sz w:val="24"/>
          <w:szCs w:val="24"/>
          <w:u w:val="single"/>
          <w:lang w:val="en"/>
        </w:rPr>
      </w:pPr>
      <w:r>
        <w:rPr>
          <w:rFonts w:ascii="宋体" w:eastAsia="宋体" w:hAnsi="宋体" w:cs="Segoe UI" w:hint="eastAsia"/>
          <w:b/>
          <w:bCs/>
          <w:color w:val="000000"/>
          <w:kern w:val="0"/>
          <w:sz w:val="24"/>
          <w:szCs w:val="24"/>
          <w:u w:val="single"/>
          <w:lang w:val="en"/>
        </w:rPr>
        <w:t>除已明确在</w:t>
      </w:r>
      <w:r>
        <w:rPr>
          <w:rFonts w:ascii="宋体" w:eastAsia="宋体" w:hAnsi="宋体" w:cs="Segoe UI" w:hint="eastAsia"/>
          <w:b/>
          <w:bCs/>
          <w:color w:val="000000"/>
          <w:kern w:val="0"/>
          <w:sz w:val="24"/>
          <w:szCs w:val="24"/>
          <w:u w:val="single"/>
          <w:lang w:val="en"/>
        </w:rPr>
        <w:t>《</w:t>
      </w:r>
      <w:r w:rsidR="00547F6D" w:rsidRPr="00547F6D">
        <w:rPr>
          <w:rFonts w:ascii="宋体" w:eastAsia="宋体" w:hAnsi="宋体" w:cs="Segoe UI" w:hint="eastAsia"/>
          <w:b/>
          <w:bCs/>
          <w:color w:val="000000"/>
          <w:kern w:val="0"/>
          <w:sz w:val="24"/>
          <w:szCs w:val="24"/>
          <w:u w:val="single"/>
          <w:lang w:val="en"/>
        </w:rPr>
        <w:t>投资者及配售对象出资方基本信息表</w:t>
      </w:r>
      <w:r>
        <w:rPr>
          <w:rFonts w:ascii="宋体" w:eastAsia="宋体" w:hAnsi="宋体" w:cs="Segoe UI" w:hint="eastAsia"/>
          <w:b/>
          <w:bCs/>
          <w:color w:val="000000"/>
          <w:kern w:val="0"/>
          <w:sz w:val="24"/>
          <w:szCs w:val="24"/>
          <w:u w:val="single"/>
          <w:lang w:val="en"/>
        </w:rPr>
        <w:t>》</w:t>
      </w:r>
      <w:r>
        <w:rPr>
          <w:rFonts w:ascii="宋体" w:eastAsia="宋体" w:hAnsi="宋体" w:cs="Segoe UI" w:hint="eastAsia"/>
          <w:b/>
          <w:bCs/>
          <w:color w:val="000000"/>
          <w:kern w:val="0"/>
          <w:sz w:val="24"/>
          <w:szCs w:val="24"/>
          <w:u w:val="single"/>
          <w:lang w:val="en"/>
        </w:rPr>
        <w:t>中披露的情形外，不存在如下主体担任本机构管理的配售对象出资方的其他情形：原始权益人及其关联方、基金管理人、财务顾问、战略投资者以及其他与定价存在利益冲突的主体</w:t>
      </w:r>
      <w:r>
        <w:rPr>
          <w:rFonts w:ascii="宋体" w:eastAsia="宋体" w:hAnsi="宋体" w:cs="Segoe UI" w:hint="eastAsia"/>
          <w:b/>
          <w:bCs/>
          <w:color w:val="000000"/>
          <w:kern w:val="0"/>
          <w:sz w:val="24"/>
          <w:szCs w:val="24"/>
          <w:u w:val="single"/>
          <w:lang w:val="en"/>
        </w:rPr>
        <w:t>，但基金管理人或财务顾问管理的公募证券投资基金、全国社会保障基金、基本养老保险基金和年金基金除外。</w:t>
      </w:r>
    </w:p>
    <w:p w14:paraId="2DA285B7" w14:textId="77777777" w:rsidR="00D4346E" w:rsidRDefault="00F32334">
      <w:pPr>
        <w:pStyle w:val="ad"/>
        <w:numPr>
          <w:ilvl w:val="0"/>
          <w:numId w:val="1"/>
        </w:numPr>
        <w:spacing w:before="240" w:line="360" w:lineRule="auto"/>
        <w:ind w:left="0" w:firstLine="480"/>
        <w:rPr>
          <w:rFonts w:ascii="宋体" w:eastAsia="宋体" w:hAnsi="宋体"/>
          <w:sz w:val="24"/>
          <w:szCs w:val="24"/>
        </w:rPr>
      </w:pPr>
      <w:r>
        <w:rPr>
          <w:rFonts w:ascii="宋体" w:eastAsia="宋体" w:hAnsi="宋体" w:cs="Segoe UI"/>
          <w:color w:val="000000"/>
          <w:kern w:val="0"/>
          <w:sz w:val="24"/>
          <w:szCs w:val="24"/>
          <w:lang w:val="en"/>
        </w:rPr>
        <w:t>本机构承诺将如实向</w:t>
      </w:r>
      <w:r>
        <w:rPr>
          <w:rFonts w:ascii="宋体" w:eastAsia="宋体" w:hAnsi="宋体" w:cs="Segoe UI" w:hint="eastAsia"/>
          <w:color w:val="000000"/>
          <w:kern w:val="0"/>
          <w:sz w:val="24"/>
          <w:szCs w:val="24"/>
          <w:lang w:val="en"/>
        </w:rPr>
        <w:t>财务顾问和基金管理人，</w:t>
      </w:r>
      <w:r>
        <w:rPr>
          <w:rFonts w:ascii="宋体" w:eastAsia="宋体" w:hAnsi="宋体" w:cs="Segoe UI"/>
          <w:color w:val="000000"/>
          <w:kern w:val="0"/>
          <w:sz w:val="24"/>
          <w:szCs w:val="24"/>
          <w:lang w:val="en"/>
        </w:rPr>
        <w:t>提交资产规模或资金规模证明材料，并确保填写的</w:t>
      </w:r>
      <w:r>
        <w:rPr>
          <w:rFonts w:ascii="宋体" w:eastAsia="宋体" w:hAnsi="宋体"/>
          <w:sz w:val="24"/>
          <w:szCs w:val="24"/>
        </w:rPr>
        <w:t>《配售对象资产规模</w:t>
      </w:r>
      <w:r>
        <w:rPr>
          <w:rFonts w:ascii="宋体" w:eastAsia="宋体" w:hAnsi="宋体" w:hint="eastAsia"/>
          <w:sz w:val="24"/>
          <w:szCs w:val="24"/>
        </w:rPr>
        <w:t>汇总</w:t>
      </w:r>
      <w:r>
        <w:rPr>
          <w:rFonts w:ascii="宋体" w:eastAsia="宋体" w:hAnsi="宋体"/>
          <w:sz w:val="24"/>
          <w:szCs w:val="24"/>
        </w:rPr>
        <w:t>表》</w:t>
      </w:r>
      <w:r>
        <w:rPr>
          <w:rFonts w:ascii="宋体" w:eastAsia="宋体" w:hAnsi="宋体" w:cs="Segoe UI"/>
          <w:color w:val="000000"/>
          <w:kern w:val="0"/>
          <w:sz w:val="24"/>
          <w:szCs w:val="24"/>
          <w:lang w:val="en"/>
        </w:rPr>
        <w:t>与其提供的上述证明材料中相应的资产证明金额保持一致，且配售对象拟认购金额</w:t>
      </w:r>
      <w:r>
        <w:rPr>
          <w:rFonts w:ascii="宋体" w:eastAsia="宋体" w:hAnsi="宋体" w:cs="Segoe UI" w:hint="eastAsia"/>
          <w:color w:val="000000"/>
          <w:kern w:val="0"/>
          <w:sz w:val="24"/>
          <w:szCs w:val="24"/>
          <w:lang w:val="en"/>
        </w:rPr>
        <w:t>原则上</w:t>
      </w:r>
      <w:r>
        <w:rPr>
          <w:rFonts w:ascii="宋体" w:eastAsia="宋体" w:hAnsi="宋体" w:cs="Segoe UI"/>
          <w:color w:val="000000"/>
          <w:kern w:val="0"/>
          <w:sz w:val="24"/>
          <w:szCs w:val="24"/>
          <w:lang w:val="en"/>
        </w:rPr>
        <w:t>不能超过上述证明材料以及《配售对象资产规模</w:t>
      </w:r>
      <w:r>
        <w:rPr>
          <w:rFonts w:ascii="宋体" w:eastAsia="宋体" w:hAnsi="宋体" w:cs="Segoe UI" w:hint="eastAsia"/>
          <w:color w:val="000000"/>
          <w:kern w:val="0"/>
          <w:sz w:val="24"/>
          <w:szCs w:val="24"/>
          <w:lang w:val="en"/>
        </w:rPr>
        <w:t>汇总</w:t>
      </w:r>
      <w:r>
        <w:rPr>
          <w:rFonts w:ascii="宋体" w:eastAsia="宋体" w:hAnsi="宋体" w:cs="Segoe UI"/>
          <w:color w:val="000000"/>
          <w:kern w:val="0"/>
          <w:sz w:val="24"/>
          <w:szCs w:val="24"/>
          <w:lang w:val="en"/>
        </w:rPr>
        <w:t>表》中相应的资产规模或资金规模。若配售对象拟认购金额超过证明材料或《配售对象资产规模</w:t>
      </w:r>
      <w:r>
        <w:rPr>
          <w:rFonts w:ascii="宋体" w:eastAsia="宋体" w:hAnsi="宋体" w:cs="Segoe UI" w:hint="eastAsia"/>
          <w:color w:val="000000"/>
          <w:kern w:val="0"/>
          <w:sz w:val="24"/>
          <w:szCs w:val="24"/>
          <w:lang w:val="en"/>
        </w:rPr>
        <w:t>汇总</w:t>
      </w:r>
      <w:r>
        <w:rPr>
          <w:rFonts w:ascii="宋体" w:eastAsia="宋体" w:hAnsi="宋体" w:cs="Segoe UI"/>
          <w:color w:val="000000"/>
          <w:kern w:val="0"/>
          <w:sz w:val="24"/>
          <w:szCs w:val="24"/>
          <w:lang w:val="en"/>
        </w:rPr>
        <w:t>表》中的资产规模或资金规模，</w:t>
      </w:r>
      <w:r>
        <w:rPr>
          <w:rFonts w:ascii="宋体" w:eastAsia="宋体" w:hAnsi="宋体" w:cs="Segoe UI" w:hint="eastAsia"/>
          <w:color w:val="000000"/>
          <w:kern w:val="0"/>
          <w:sz w:val="24"/>
          <w:szCs w:val="24"/>
          <w:lang w:val="en"/>
        </w:rPr>
        <w:t>财务顾问和基金管理人</w:t>
      </w:r>
      <w:r>
        <w:rPr>
          <w:rFonts w:ascii="宋体" w:eastAsia="宋体" w:hAnsi="宋体" w:cs="Segoe UI"/>
          <w:color w:val="000000"/>
          <w:kern w:val="0"/>
          <w:sz w:val="24"/>
          <w:szCs w:val="24"/>
          <w:lang w:val="en"/>
        </w:rPr>
        <w:t>有权认定该配售对象的认购无效。</w:t>
      </w:r>
    </w:p>
    <w:p w14:paraId="4EF094FF" w14:textId="77777777" w:rsidR="00D4346E" w:rsidRDefault="00F32334">
      <w:pPr>
        <w:pStyle w:val="ad"/>
        <w:numPr>
          <w:ilvl w:val="0"/>
          <w:numId w:val="1"/>
        </w:numPr>
        <w:spacing w:before="240" w:line="360" w:lineRule="auto"/>
        <w:ind w:left="0" w:firstLine="480"/>
        <w:rPr>
          <w:rFonts w:ascii="宋体" w:eastAsia="宋体" w:hAnsi="宋体"/>
          <w:sz w:val="24"/>
          <w:szCs w:val="24"/>
        </w:rPr>
      </w:pPr>
      <w:r>
        <w:rPr>
          <w:rFonts w:ascii="宋体" w:eastAsia="宋体" w:hAnsi="宋体" w:hint="eastAsia"/>
          <w:sz w:val="24"/>
          <w:szCs w:val="24"/>
        </w:rPr>
        <w:t>本机构已在证券业协会注册、已在</w:t>
      </w:r>
      <w:r>
        <w:rPr>
          <w:rFonts w:ascii="宋体" w:eastAsia="宋体" w:hAnsi="宋体" w:cs="Segoe UI" w:hint="eastAsia"/>
          <w:color w:val="000000"/>
          <w:kern w:val="0"/>
          <w:sz w:val="24"/>
          <w:szCs w:val="24"/>
          <w:lang w:val="en"/>
        </w:rPr>
        <w:t>基础设施证券投资基金</w:t>
      </w:r>
      <w:r>
        <w:rPr>
          <w:rFonts w:ascii="宋体" w:eastAsia="宋体" w:hAnsi="宋体" w:cs="Segoe UI"/>
          <w:color w:val="000000"/>
          <w:kern w:val="0"/>
          <w:sz w:val="24"/>
          <w:szCs w:val="24"/>
          <w:lang w:val="en"/>
        </w:rPr>
        <w:t>网下投资者备案管理系统完成备案</w:t>
      </w:r>
      <w:r>
        <w:rPr>
          <w:rFonts w:ascii="宋体" w:eastAsia="宋体" w:hAnsi="宋体" w:hint="eastAsia"/>
          <w:sz w:val="24"/>
          <w:szCs w:val="24"/>
        </w:rPr>
        <w:t>，符合专业机构投资者相关标准。</w:t>
      </w:r>
      <w:r>
        <w:rPr>
          <w:rFonts w:ascii="宋体" w:eastAsia="宋体" w:hAnsi="宋体" w:cs="Segoe UI" w:hint="eastAsia"/>
          <w:color w:val="000000"/>
          <w:kern w:val="0"/>
          <w:sz w:val="24"/>
          <w:szCs w:val="24"/>
          <w:lang w:val="en"/>
        </w:rPr>
        <w:t>本机构承诺将做好询价前准备工作，确保在证券业协</w:t>
      </w:r>
      <w:r>
        <w:rPr>
          <w:rFonts w:ascii="宋体" w:eastAsia="宋体" w:hAnsi="宋体" w:cs="Segoe UI" w:hint="eastAsia"/>
          <w:color w:val="000000"/>
          <w:kern w:val="0"/>
          <w:sz w:val="24"/>
          <w:szCs w:val="24"/>
          <w:lang w:val="en"/>
        </w:rPr>
        <w:lastRenderedPageBreak/>
        <w:t>会注册的信息真实、准确、完整，</w:t>
      </w:r>
      <w:r>
        <w:rPr>
          <w:rFonts w:ascii="宋体" w:eastAsia="宋体" w:hAnsi="宋体" w:hint="eastAsia"/>
          <w:sz w:val="24"/>
          <w:szCs w:val="24"/>
        </w:rPr>
        <w:t>确认在网下询价和认购过程中相关配售对象处于注册有效期、缴款渠道畅通，且上交所网下询价平台</w:t>
      </w:r>
      <w:r>
        <w:rPr>
          <w:rFonts w:ascii="宋体" w:eastAsia="宋体" w:hAnsi="宋体"/>
          <w:sz w:val="24"/>
          <w:szCs w:val="24"/>
        </w:rPr>
        <w:t>CA</w:t>
      </w:r>
      <w:r>
        <w:rPr>
          <w:rFonts w:ascii="宋体" w:eastAsia="宋体" w:hAnsi="宋体"/>
          <w:sz w:val="24"/>
          <w:szCs w:val="24"/>
        </w:rPr>
        <w:t>证书、银行账户等认购</w:t>
      </w:r>
      <w:r>
        <w:rPr>
          <w:rFonts w:ascii="宋体" w:eastAsia="宋体" w:hAnsi="宋体"/>
          <w:sz w:val="24"/>
          <w:szCs w:val="24"/>
        </w:rPr>
        <w:t>和缴款必备工具可正常使用</w:t>
      </w:r>
      <w:r>
        <w:rPr>
          <w:rFonts w:ascii="宋体" w:eastAsia="宋体" w:hAnsi="宋体" w:hint="eastAsia"/>
          <w:sz w:val="24"/>
          <w:szCs w:val="24"/>
        </w:rPr>
        <w:t>。本机构在参与网下询价和认购期间，不随意变更名称、场内证券账户或开放式基金账户号等注册信息，并做好停电、网络故障等突发事件的应急预案，避免询价后无法认购或缴款。</w:t>
      </w:r>
    </w:p>
    <w:p w14:paraId="7E90DA77" w14:textId="77777777" w:rsidR="00D4346E" w:rsidRDefault="00F32334">
      <w:pPr>
        <w:pStyle w:val="ad"/>
        <w:numPr>
          <w:ilvl w:val="0"/>
          <w:numId w:val="1"/>
        </w:numPr>
        <w:spacing w:before="240" w:line="360" w:lineRule="auto"/>
        <w:ind w:left="0" w:firstLine="480"/>
        <w:rPr>
          <w:rFonts w:ascii="宋体" w:eastAsia="宋体" w:hAnsi="宋体"/>
          <w:sz w:val="24"/>
          <w:szCs w:val="24"/>
        </w:rPr>
      </w:pPr>
      <w:r>
        <w:rPr>
          <w:rFonts w:ascii="宋体" w:eastAsia="宋体" w:hAnsi="宋体" w:hint="eastAsia"/>
          <w:sz w:val="24"/>
          <w:szCs w:val="24"/>
        </w:rPr>
        <w:t>本机构</w:t>
      </w:r>
      <w:r>
        <w:rPr>
          <w:rFonts w:ascii="宋体" w:eastAsia="宋体" w:hAnsi="宋体" w:cs="Segoe UI"/>
          <w:color w:val="000000"/>
          <w:kern w:val="0"/>
          <w:sz w:val="24"/>
          <w:szCs w:val="24"/>
          <w:lang w:val="en"/>
        </w:rPr>
        <w:t>及本机构管理的配售对象</w:t>
      </w:r>
      <w:r>
        <w:rPr>
          <w:rFonts w:ascii="宋体" w:eastAsia="宋体" w:hAnsi="宋体" w:hint="eastAsia"/>
          <w:sz w:val="24"/>
          <w:szCs w:val="24"/>
        </w:rPr>
        <w:t>信用记录良好，最近十二个月未因证券投资、资产管理等相关业务重大违法违规受到相关监管部门的行政处罚、行政监管措施或相关自律组织的纪律处分，并符合中国证监会、上交所及证券业协会等相关</w:t>
      </w:r>
      <w:r>
        <w:rPr>
          <w:rFonts w:ascii="宋体" w:eastAsia="宋体" w:hAnsi="宋体" w:cs="Segoe UI" w:hint="eastAsia"/>
          <w:color w:val="000000"/>
          <w:kern w:val="0"/>
          <w:sz w:val="24"/>
          <w:szCs w:val="24"/>
          <w:lang w:val="en"/>
        </w:rPr>
        <w:t>监管部门、</w:t>
      </w:r>
      <w:r>
        <w:rPr>
          <w:rFonts w:ascii="宋体" w:eastAsia="宋体" w:hAnsi="宋体" w:hint="eastAsia"/>
          <w:sz w:val="24"/>
          <w:szCs w:val="24"/>
        </w:rPr>
        <w:t>自律监管组织要求的其他条件。</w:t>
      </w:r>
    </w:p>
    <w:p w14:paraId="161A13A6" w14:textId="77777777" w:rsidR="00D4346E" w:rsidRDefault="00F32334">
      <w:pPr>
        <w:pStyle w:val="ad"/>
        <w:numPr>
          <w:ilvl w:val="0"/>
          <w:numId w:val="1"/>
        </w:numPr>
        <w:spacing w:before="240" w:line="360" w:lineRule="auto"/>
        <w:ind w:left="0" w:firstLine="480"/>
        <w:rPr>
          <w:rFonts w:ascii="宋体" w:eastAsia="宋体" w:hAnsi="宋体"/>
          <w:sz w:val="24"/>
          <w:szCs w:val="24"/>
        </w:rPr>
      </w:pPr>
      <w:r>
        <w:rPr>
          <w:rFonts w:ascii="宋体" w:eastAsia="宋体" w:hAnsi="宋体" w:hint="eastAsia"/>
          <w:sz w:val="24"/>
          <w:szCs w:val="24"/>
        </w:rPr>
        <w:t>本机构承诺对所注册的参与本次网下询价以及认购业务的配售对象履行主动管理职责，且不</w:t>
      </w:r>
      <w:r>
        <w:rPr>
          <w:rFonts w:ascii="宋体" w:eastAsia="宋体" w:hAnsi="宋体" w:hint="eastAsia"/>
          <w:sz w:val="24"/>
          <w:szCs w:val="24"/>
        </w:rPr>
        <w:t>存在为其他机构、个人或产品规避监管规定提供通道服务的情形。</w:t>
      </w:r>
    </w:p>
    <w:p w14:paraId="01708A12" w14:textId="77777777" w:rsidR="00D4346E" w:rsidRDefault="00F32334">
      <w:pPr>
        <w:pStyle w:val="ad"/>
        <w:numPr>
          <w:ilvl w:val="0"/>
          <w:numId w:val="1"/>
        </w:numPr>
        <w:spacing w:before="240" w:line="360" w:lineRule="auto"/>
        <w:ind w:left="0" w:firstLine="480"/>
        <w:rPr>
          <w:rFonts w:ascii="宋体" w:eastAsia="宋体" w:hAnsi="宋体"/>
          <w:sz w:val="24"/>
          <w:szCs w:val="24"/>
        </w:rPr>
      </w:pPr>
      <w:r>
        <w:rPr>
          <w:rFonts w:ascii="宋体" w:eastAsia="宋体" w:hAnsi="宋体" w:hint="eastAsia"/>
          <w:sz w:val="24"/>
          <w:szCs w:val="24"/>
        </w:rPr>
        <w:t>本机构承诺：</w:t>
      </w:r>
      <w:r>
        <w:rPr>
          <w:rFonts w:ascii="宋体" w:eastAsia="宋体" w:hAnsi="宋体" w:cs="Segoe UI"/>
          <w:color w:val="000000"/>
          <w:kern w:val="0"/>
          <w:sz w:val="24"/>
          <w:szCs w:val="24"/>
          <w:lang w:val="en"/>
        </w:rPr>
        <w:t>本机构及本机构管理的配售对象</w:t>
      </w:r>
      <w:r>
        <w:rPr>
          <w:rFonts w:ascii="宋体" w:eastAsia="宋体" w:hAnsi="宋体" w:hint="eastAsia"/>
          <w:sz w:val="24"/>
          <w:szCs w:val="24"/>
        </w:rPr>
        <w:t>具备必要的基础设施项目估值定价研究能力，具备完善的内部控制制度和业务操作流程，做好相关工作人员的培训和管理，保证业务开展合法合</w:t>
      </w:r>
      <w:proofErr w:type="gramStart"/>
      <w:r>
        <w:rPr>
          <w:rFonts w:ascii="宋体" w:eastAsia="宋体" w:hAnsi="宋体" w:hint="eastAsia"/>
          <w:sz w:val="24"/>
          <w:szCs w:val="24"/>
        </w:rPr>
        <w:t>规</w:t>
      </w:r>
      <w:proofErr w:type="gramEnd"/>
      <w:r>
        <w:rPr>
          <w:rFonts w:ascii="宋体" w:eastAsia="宋体" w:hAnsi="宋体" w:hint="eastAsia"/>
          <w:sz w:val="24"/>
          <w:szCs w:val="24"/>
        </w:rPr>
        <w:t>。承诺将在对基础设施基金充分了解的基础上参与网下询价，提供有效报价后不放弃认购。承诺</w:t>
      </w:r>
      <w:r>
        <w:rPr>
          <w:rFonts w:ascii="宋体" w:eastAsia="宋体" w:hAnsi="宋体" w:cs="Segoe UI" w:hint="eastAsia"/>
          <w:color w:val="000000"/>
          <w:kern w:val="0"/>
          <w:sz w:val="24"/>
          <w:szCs w:val="24"/>
          <w:lang w:val="en"/>
        </w:rPr>
        <w:t>根据本基金拟投资的基础设施项目评估情况，</w:t>
      </w:r>
      <w:r>
        <w:rPr>
          <w:rFonts w:ascii="宋体" w:eastAsia="宋体" w:hAnsi="宋体"/>
          <w:sz w:val="24"/>
          <w:szCs w:val="24"/>
        </w:rPr>
        <w:t>坚持科学、独立、客观、审慎</w:t>
      </w:r>
      <w:r>
        <w:rPr>
          <w:rFonts w:ascii="宋体" w:eastAsia="宋体" w:hAnsi="宋体" w:cs="Segoe UI" w:hint="eastAsia"/>
          <w:color w:val="000000"/>
          <w:kern w:val="0"/>
          <w:sz w:val="24"/>
          <w:szCs w:val="24"/>
          <w:lang w:val="en"/>
        </w:rPr>
        <w:t>、诚信</w:t>
      </w:r>
      <w:r>
        <w:rPr>
          <w:rFonts w:ascii="宋体" w:eastAsia="宋体" w:hAnsi="宋体"/>
          <w:sz w:val="24"/>
          <w:szCs w:val="24"/>
        </w:rPr>
        <w:t>的原则对基础设施项目进行深入研究，发挥专业的定价能力，在充分研究并严格履行定价决策程序的基础上理性报价</w:t>
      </w:r>
      <w:r>
        <w:rPr>
          <w:rFonts w:ascii="宋体" w:eastAsia="宋体" w:hAnsi="宋体" w:hint="eastAsia"/>
          <w:sz w:val="24"/>
          <w:szCs w:val="24"/>
        </w:rPr>
        <w:t>。</w:t>
      </w:r>
      <w:r>
        <w:rPr>
          <w:rFonts w:ascii="宋体" w:eastAsia="宋体" w:hAnsi="宋体" w:cs="Segoe UI"/>
          <w:color w:val="000000"/>
          <w:kern w:val="0"/>
          <w:sz w:val="24"/>
          <w:szCs w:val="24"/>
          <w:lang w:val="en"/>
        </w:rPr>
        <w:t>在</w:t>
      </w:r>
      <w:r>
        <w:rPr>
          <w:rFonts w:ascii="宋体" w:eastAsia="宋体" w:hAnsi="宋体" w:cs="Segoe UI" w:hint="eastAsia"/>
          <w:color w:val="000000"/>
          <w:kern w:val="0"/>
          <w:sz w:val="24"/>
          <w:szCs w:val="24"/>
          <w:lang w:val="en"/>
        </w:rPr>
        <w:t>本基金</w:t>
      </w:r>
      <w:r>
        <w:rPr>
          <w:rFonts w:ascii="宋体" w:eastAsia="宋体" w:hAnsi="宋体" w:cs="Segoe UI"/>
          <w:color w:val="000000"/>
          <w:kern w:val="0"/>
          <w:sz w:val="24"/>
          <w:szCs w:val="24"/>
          <w:lang w:val="en"/>
        </w:rPr>
        <w:t>启动发行后、询价</w:t>
      </w:r>
      <w:r>
        <w:rPr>
          <w:rFonts w:ascii="宋体" w:eastAsia="宋体" w:hAnsi="宋体" w:cs="Segoe UI"/>
          <w:color w:val="000000"/>
          <w:kern w:val="0"/>
          <w:sz w:val="24"/>
          <w:szCs w:val="24"/>
          <w:lang w:val="en"/>
        </w:rPr>
        <w:t>结束前不泄露本次报价、打听他人报价。</w:t>
      </w:r>
    </w:p>
    <w:p w14:paraId="556D81F2" w14:textId="77777777" w:rsidR="00D4346E" w:rsidRDefault="00F32334">
      <w:pPr>
        <w:pStyle w:val="ad"/>
        <w:numPr>
          <w:ilvl w:val="0"/>
          <w:numId w:val="1"/>
        </w:numPr>
        <w:spacing w:before="240" w:line="360" w:lineRule="auto"/>
        <w:ind w:left="0" w:firstLine="480"/>
        <w:rPr>
          <w:rFonts w:ascii="宋体" w:eastAsia="宋体" w:hAnsi="宋体"/>
          <w:sz w:val="24"/>
          <w:szCs w:val="24"/>
        </w:rPr>
      </w:pPr>
      <w:r>
        <w:rPr>
          <w:rFonts w:ascii="宋体" w:eastAsia="宋体" w:hAnsi="宋体" w:hint="eastAsia"/>
          <w:sz w:val="24"/>
          <w:szCs w:val="24"/>
        </w:rPr>
        <w:t>本机构承诺，</w:t>
      </w:r>
      <w:r>
        <w:rPr>
          <w:rFonts w:ascii="宋体" w:eastAsia="宋体" w:hAnsi="宋体" w:cs="Segoe UI" w:hint="eastAsia"/>
          <w:color w:val="000000"/>
          <w:kern w:val="0"/>
          <w:sz w:val="24"/>
          <w:szCs w:val="24"/>
          <w:lang w:val="en"/>
        </w:rPr>
        <w:t>本机构及本机构管理的配售对象及其关联账户，</w:t>
      </w:r>
      <w:r>
        <w:rPr>
          <w:rFonts w:ascii="宋体" w:eastAsia="宋体" w:hAnsi="宋体"/>
          <w:sz w:val="24"/>
          <w:szCs w:val="24"/>
        </w:rPr>
        <w:t>同一配售对象只使用一个场内证券账户或开放式基金账户参与</w:t>
      </w:r>
      <w:r>
        <w:rPr>
          <w:rFonts w:ascii="宋体" w:eastAsia="宋体" w:hAnsi="宋体" w:hint="eastAsia"/>
          <w:sz w:val="24"/>
          <w:szCs w:val="24"/>
        </w:rPr>
        <w:t>本基金</w:t>
      </w:r>
      <w:r>
        <w:rPr>
          <w:rFonts w:ascii="宋体" w:eastAsia="宋体" w:hAnsi="宋体"/>
          <w:sz w:val="24"/>
          <w:szCs w:val="24"/>
        </w:rPr>
        <w:t>网下询价，其他关联账户不参与</w:t>
      </w:r>
      <w:r>
        <w:rPr>
          <w:rFonts w:ascii="宋体" w:eastAsia="宋体" w:hAnsi="宋体" w:hint="eastAsia"/>
          <w:sz w:val="24"/>
          <w:szCs w:val="24"/>
        </w:rPr>
        <w:t>本次网下询价</w:t>
      </w:r>
      <w:r>
        <w:rPr>
          <w:rFonts w:ascii="宋体" w:eastAsia="宋体" w:hAnsi="宋体"/>
          <w:sz w:val="24"/>
          <w:szCs w:val="24"/>
        </w:rPr>
        <w:t>。</w:t>
      </w:r>
      <w:r>
        <w:rPr>
          <w:rFonts w:ascii="宋体" w:eastAsia="宋体" w:hAnsi="宋体" w:hint="eastAsia"/>
          <w:sz w:val="24"/>
          <w:szCs w:val="24"/>
        </w:rPr>
        <w:t>且</w:t>
      </w:r>
      <w:r>
        <w:rPr>
          <w:rFonts w:ascii="宋体" w:eastAsia="宋体" w:hAnsi="宋体"/>
          <w:sz w:val="24"/>
          <w:szCs w:val="24"/>
        </w:rPr>
        <w:t>参与</w:t>
      </w:r>
      <w:r>
        <w:rPr>
          <w:rFonts w:ascii="宋体" w:eastAsia="宋体" w:hAnsi="宋体" w:hint="eastAsia"/>
          <w:sz w:val="24"/>
          <w:szCs w:val="24"/>
        </w:rPr>
        <w:t>本基金</w:t>
      </w:r>
      <w:r>
        <w:rPr>
          <w:rFonts w:ascii="宋体" w:eastAsia="宋体" w:hAnsi="宋体"/>
          <w:sz w:val="24"/>
          <w:szCs w:val="24"/>
        </w:rPr>
        <w:t>网下询价的配售对象及其关联账户</w:t>
      </w:r>
      <w:r>
        <w:rPr>
          <w:rFonts w:ascii="宋体" w:eastAsia="宋体" w:hAnsi="宋体" w:hint="eastAsia"/>
          <w:sz w:val="24"/>
          <w:szCs w:val="24"/>
        </w:rPr>
        <w:t>不通过面向</w:t>
      </w:r>
      <w:r>
        <w:rPr>
          <w:rFonts w:ascii="宋体" w:eastAsia="宋体" w:hAnsi="宋体"/>
          <w:sz w:val="24"/>
          <w:szCs w:val="24"/>
        </w:rPr>
        <w:t>公众投资者发售部分认购基金份额</w:t>
      </w:r>
      <w:r>
        <w:rPr>
          <w:rFonts w:ascii="宋体" w:eastAsia="宋体" w:hAnsi="宋体" w:hint="eastAsia"/>
          <w:sz w:val="24"/>
          <w:szCs w:val="24"/>
        </w:rPr>
        <w:t>。</w:t>
      </w:r>
    </w:p>
    <w:p w14:paraId="651EFD99" w14:textId="77777777" w:rsidR="00D4346E" w:rsidRDefault="00F32334">
      <w:pPr>
        <w:pStyle w:val="ad"/>
        <w:numPr>
          <w:ilvl w:val="0"/>
          <w:numId w:val="1"/>
        </w:numPr>
        <w:tabs>
          <w:tab w:val="left" w:pos="851"/>
        </w:tabs>
        <w:spacing w:before="240" w:line="360" w:lineRule="auto"/>
        <w:ind w:left="0" w:firstLine="480"/>
        <w:rPr>
          <w:rFonts w:ascii="宋体" w:eastAsia="宋体" w:hAnsi="宋体"/>
          <w:sz w:val="24"/>
          <w:szCs w:val="24"/>
        </w:rPr>
      </w:pPr>
      <w:r>
        <w:rPr>
          <w:rFonts w:ascii="宋体" w:eastAsia="宋体" w:hAnsi="宋体" w:hint="eastAsia"/>
          <w:sz w:val="24"/>
          <w:szCs w:val="24"/>
        </w:rPr>
        <w:t>本机构承诺在为配售对象填报拟认购数量时，将根据实际认购意愿、资金实力、风险承受能力等情况合理确定认购数量，拟认购数量不超过网下初始发行总量，也不超过本基金询价公告中确定的单个配售对象认购数量上限，拟认购金额不会超过该配售对象的总资产</w:t>
      </w:r>
      <w:r>
        <w:rPr>
          <w:rFonts w:ascii="宋体" w:eastAsia="宋体" w:hAnsi="宋体" w:hint="eastAsia"/>
          <w:sz w:val="24"/>
          <w:szCs w:val="24"/>
        </w:rPr>
        <w:t>或资金规模，并确保认购数量和未来持有基金份额的情况符合相关法律法规及监管部门的规定。</w:t>
      </w:r>
    </w:p>
    <w:p w14:paraId="70F3D655" w14:textId="77777777" w:rsidR="00D4346E" w:rsidRDefault="00F32334">
      <w:pPr>
        <w:pStyle w:val="ad"/>
        <w:numPr>
          <w:ilvl w:val="0"/>
          <w:numId w:val="1"/>
        </w:numPr>
        <w:tabs>
          <w:tab w:val="left" w:pos="851"/>
        </w:tabs>
        <w:spacing w:before="240" w:line="360" w:lineRule="auto"/>
        <w:ind w:left="0" w:firstLine="480"/>
        <w:rPr>
          <w:rFonts w:ascii="宋体" w:eastAsia="宋体" w:hAnsi="宋体"/>
          <w:sz w:val="24"/>
          <w:szCs w:val="24"/>
        </w:rPr>
      </w:pPr>
      <w:r>
        <w:rPr>
          <w:rFonts w:ascii="宋体" w:eastAsia="宋体" w:hAnsi="宋体" w:hint="eastAsia"/>
          <w:sz w:val="24"/>
          <w:szCs w:val="24"/>
        </w:rPr>
        <w:t>本机构承诺将根据认购金额，预留充足的认购资金。提供有效报价后，将按照本基金</w:t>
      </w:r>
      <w:r>
        <w:rPr>
          <w:rFonts w:ascii="宋体" w:eastAsia="宋体" w:hAnsi="宋体" w:hint="eastAsia"/>
          <w:sz w:val="24"/>
          <w:szCs w:val="24"/>
        </w:rPr>
        <w:lastRenderedPageBreak/>
        <w:t>发售公告的要求在募集期内进行认购，认购数量不低于询价时有效报价对应的拟认购数量，并在本基金募集结束前使用在协会注册的银行账户按照认购金额足额缴纳认购资金。</w:t>
      </w:r>
    </w:p>
    <w:p w14:paraId="55726F77" w14:textId="77777777" w:rsidR="00D4346E" w:rsidRDefault="00F32334">
      <w:pPr>
        <w:pStyle w:val="ad"/>
        <w:numPr>
          <w:ilvl w:val="0"/>
          <w:numId w:val="1"/>
        </w:numPr>
        <w:tabs>
          <w:tab w:val="left" w:pos="851"/>
        </w:tabs>
        <w:spacing w:before="240" w:line="360" w:lineRule="auto"/>
        <w:ind w:left="0" w:firstLine="480"/>
        <w:rPr>
          <w:rFonts w:ascii="宋体" w:eastAsia="宋体" w:hAnsi="宋体"/>
          <w:sz w:val="24"/>
          <w:szCs w:val="24"/>
        </w:rPr>
      </w:pPr>
      <w:r>
        <w:rPr>
          <w:rFonts w:ascii="宋体" w:eastAsia="宋体" w:hAnsi="宋体" w:hint="eastAsia"/>
          <w:sz w:val="24"/>
          <w:szCs w:val="24"/>
        </w:rPr>
        <w:t>本机构及相关工作人员在参与本基金的网下询价和认购业务时，承诺不存在以下行为：</w:t>
      </w:r>
    </w:p>
    <w:p w14:paraId="222B1A59"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1</w:t>
      </w:r>
      <w:r>
        <w:rPr>
          <w:rFonts w:ascii="宋体" w:eastAsia="宋体" w:hAnsi="宋体" w:hint="eastAsia"/>
          <w:sz w:val="24"/>
          <w:szCs w:val="24"/>
        </w:rPr>
        <w:t>）使用他人账户、多个账户或委托他人报价；</w:t>
      </w:r>
    </w:p>
    <w:p w14:paraId="6A9E944F"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2</w:t>
      </w:r>
      <w:r>
        <w:rPr>
          <w:rFonts w:ascii="宋体" w:eastAsia="宋体" w:hAnsi="宋体" w:hint="eastAsia"/>
          <w:sz w:val="24"/>
          <w:szCs w:val="24"/>
        </w:rPr>
        <w:t>）与其他投资者、原始权益人、基金管理人或其财务顾问等利益相关方串通报</w:t>
      </w:r>
      <w:r>
        <w:rPr>
          <w:rFonts w:ascii="宋体" w:eastAsia="宋体" w:hAnsi="宋体" w:hint="eastAsia"/>
          <w:sz w:val="24"/>
          <w:szCs w:val="24"/>
        </w:rPr>
        <w:t>价；</w:t>
      </w:r>
    </w:p>
    <w:p w14:paraId="60AC7B94"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3</w:t>
      </w:r>
      <w:r>
        <w:rPr>
          <w:rFonts w:ascii="宋体" w:eastAsia="宋体" w:hAnsi="宋体" w:hint="eastAsia"/>
          <w:sz w:val="24"/>
          <w:szCs w:val="24"/>
        </w:rPr>
        <w:t>）利用内幕信息、未公开信息报价；</w:t>
      </w:r>
    </w:p>
    <w:p w14:paraId="1DFD15CE" w14:textId="1C7FECB6" w:rsidR="00067200" w:rsidRDefault="00067200" w:rsidP="00067200">
      <w:pPr>
        <w:adjustRightInd w:val="0"/>
        <w:snapToGrid w:val="0"/>
        <w:spacing w:beforeLines="50" w:before="156" w:line="360" w:lineRule="auto"/>
        <w:ind w:firstLineChars="200" w:firstLine="480"/>
        <w:rPr>
          <w:rFonts w:ascii="Times New Roman" w:eastAsia="宋体" w:hAnsi="Times New Roman" w:cs="Times New Roman"/>
          <w:bCs/>
          <w:kern w:val="0"/>
          <w:sz w:val="24"/>
          <w:szCs w:val="24"/>
        </w:rPr>
      </w:pPr>
      <w:r>
        <w:rPr>
          <w:rFonts w:ascii="Times New Roman" w:eastAsia="宋体" w:hAnsi="Times New Roman" w:cs="Times New Roman" w:hint="eastAsia"/>
          <w:bCs/>
          <w:kern w:val="0"/>
          <w:sz w:val="24"/>
          <w:szCs w:val="24"/>
        </w:rPr>
        <w:t>（</w:t>
      </w:r>
      <w:r>
        <w:rPr>
          <w:rFonts w:ascii="Times New Roman" w:eastAsia="宋体" w:hAnsi="Times New Roman" w:cs="Times New Roman" w:hint="eastAsia"/>
          <w:bCs/>
          <w:kern w:val="0"/>
          <w:sz w:val="24"/>
          <w:szCs w:val="24"/>
        </w:rPr>
        <w:t>4</w:t>
      </w:r>
      <w:r>
        <w:rPr>
          <w:rFonts w:ascii="Times New Roman" w:eastAsia="宋体" w:hAnsi="Times New Roman" w:cs="Times New Roman" w:hint="eastAsia"/>
          <w:bCs/>
          <w:kern w:val="0"/>
          <w:sz w:val="24"/>
          <w:szCs w:val="24"/>
        </w:rPr>
        <w:t>）</w:t>
      </w:r>
      <w:r w:rsidRPr="004A1507">
        <w:rPr>
          <w:rFonts w:ascii="Times New Roman" w:eastAsia="宋体" w:hAnsi="Times New Roman" w:cs="Times New Roman" w:hint="eastAsia"/>
          <w:bCs/>
          <w:kern w:val="0"/>
          <w:sz w:val="24"/>
          <w:szCs w:val="24"/>
        </w:rPr>
        <w:t>无定价依据、未在充分研究的基础上理性报价，未严格履行报价决策程序审慎报价或故意压低、抬高价格；</w:t>
      </w:r>
    </w:p>
    <w:p w14:paraId="305AC55B"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5</w:t>
      </w:r>
      <w:r>
        <w:rPr>
          <w:rFonts w:ascii="宋体" w:eastAsia="宋体" w:hAnsi="宋体" w:hint="eastAsia"/>
          <w:sz w:val="24"/>
          <w:szCs w:val="24"/>
        </w:rPr>
        <w:t>）未合理确定拟认购数量，拟认购金额超过配售对象总资产或资金规模；</w:t>
      </w:r>
    </w:p>
    <w:p w14:paraId="25520E0D"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6</w:t>
      </w:r>
      <w:r>
        <w:rPr>
          <w:rFonts w:ascii="宋体" w:eastAsia="宋体" w:hAnsi="宋体" w:hint="eastAsia"/>
          <w:sz w:val="24"/>
          <w:szCs w:val="24"/>
        </w:rPr>
        <w:t>）提供有效报价但未参与认购或未足额认购；</w:t>
      </w:r>
    </w:p>
    <w:p w14:paraId="57F1C1F7"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7</w:t>
      </w:r>
      <w:r>
        <w:rPr>
          <w:rFonts w:ascii="宋体" w:eastAsia="宋体" w:hAnsi="宋体" w:hint="eastAsia"/>
          <w:sz w:val="24"/>
          <w:szCs w:val="24"/>
        </w:rPr>
        <w:t>）未按时足额缴付认购资金；</w:t>
      </w:r>
    </w:p>
    <w:p w14:paraId="70AB183D"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8</w:t>
      </w:r>
      <w:r>
        <w:rPr>
          <w:rFonts w:ascii="宋体" w:eastAsia="宋体" w:hAnsi="宋体" w:hint="eastAsia"/>
          <w:sz w:val="24"/>
          <w:szCs w:val="24"/>
        </w:rPr>
        <w:t>）参与网下询价的配售对象及其关联账户通过面向公众投资者发售部分认购基金份额；</w:t>
      </w:r>
    </w:p>
    <w:p w14:paraId="6ECDD17F"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9</w:t>
      </w:r>
      <w:r>
        <w:rPr>
          <w:rFonts w:ascii="宋体" w:eastAsia="宋体" w:hAnsi="宋体" w:hint="eastAsia"/>
          <w:sz w:val="24"/>
          <w:szCs w:val="24"/>
        </w:rPr>
        <w:t>）获配后未恪守相关承诺；</w:t>
      </w:r>
    </w:p>
    <w:p w14:paraId="68EAE05B"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1</w:t>
      </w:r>
      <w:r>
        <w:rPr>
          <w:rFonts w:ascii="宋体" w:eastAsia="宋体" w:hAnsi="宋体"/>
          <w:sz w:val="24"/>
          <w:szCs w:val="24"/>
        </w:rPr>
        <w:t>0</w:t>
      </w:r>
      <w:r>
        <w:rPr>
          <w:rFonts w:ascii="宋体" w:eastAsia="宋体" w:hAnsi="宋体" w:hint="eastAsia"/>
          <w:sz w:val="24"/>
          <w:szCs w:val="24"/>
        </w:rPr>
        <w:t>）接受原始权益人、基金管理人</w:t>
      </w:r>
      <w:r>
        <w:rPr>
          <w:rFonts w:ascii="Times New Roman" w:eastAsia="宋体" w:hAnsi="Times New Roman" w:cs="Times New Roman" w:hint="eastAsia"/>
          <w:bCs/>
          <w:kern w:val="0"/>
          <w:sz w:val="24"/>
          <w:szCs w:val="24"/>
        </w:rPr>
        <w:t>或其财务顾问</w:t>
      </w:r>
      <w:r>
        <w:rPr>
          <w:rFonts w:ascii="宋体" w:eastAsia="宋体" w:hAnsi="宋体" w:hint="eastAsia"/>
          <w:sz w:val="24"/>
          <w:szCs w:val="24"/>
        </w:rPr>
        <w:t>以及其他利益相关方提供的财务资助、补偿、回扣等；</w:t>
      </w:r>
    </w:p>
    <w:p w14:paraId="15AE0091" w14:textId="77777777" w:rsidR="00D4346E" w:rsidRDefault="00F32334">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1</w:t>
      </w:r>
      <w:r>
        <w:rPr>
          <w:rFonts w:ascii="宋体" w:eastAsia="宋体" w:hAnsi="宋体"/>
          <w:sz w:val="24"/>
          <w:szCs w:val="24"/>
        </w:rPr>
        <w:t>1</w:t>
      </w:r>
      <w:r>
        <w:rPr>
          <w:rFonts w:ascii="宋体" w:eastAsia="宋体" w:hAnsi="宋体" w:hint="eastAsia"/>
          <w:sz w:val="24"/>
          <w:szCs w:val="24"/>
        </w:rPr>
        <w:t>）其他不独立、不客观、</w:t>
      </w:r>
      <w:proofErr w:type="gramStart"/>
      <w:r>
        <w:rPr>
          <w:rFonts w:ascii="宋体" w:eastAsia="宋体" w:hAnsi="宋体" w:hint="eastAsia"/>
          <w:sz w:val="24"/>
          <w:szCs w:val="24"/>
        </w:rPr>
        <w:t>不</w:t>
      </w:r>
      <w:proofErr w:type="gramEnd"/>
      <w:r>
        <w:rPr>
          <w:rFonts w:ascii="宋体" w:eastAsia="宋体" w:hAnsi="宋体" w:hint="eastAsia"/>
          <w:sz w:val="24"/>
          <w:szCs w:val="24"/>
        </w:rPr>
        <w:t>诚信、不廉洁的情形或其他影响发行秩序的情形。</w:t>
      </w:r>
    </w:p>
    <w:p w14:paraId="4F5877AB" w14:textId="4F876027" w:rsidR="00D4346E" w:rsidRDefault="00F32334">
      <w:pPr>
        <w:pStyle w:val="ad"/>
        <w:numPr>
          <w:ilvl w:val="0"/>
          <w:numId w:val="1"/>
        </w:numPr>
        <w:tabs>
          <w:tab w:val="left" w:pos="851"/>
        </w:tabs>
        <w:spacing w:before="240" w:line="360" w:lineRule="auto"/>
        <w:ind w:left="0" w:firstLine="480"/>
        <w:rPr>
          <w:rFonts w:ascii="宋体" w:eastAsia="宋体" w:hAnsi="宋体"/>
          <w:sz w:val="24"/>
          <w:szCs w:val="24"/>
        </w:rPr>
      </w:pPr>
      <w:r>
        <w:rPr>
          <w:rFonts w:ascii="宋体" w:eastAsia="宋体" w:hAnsi="宋体" w:hint="eastAsia"/>
          <w:sz w:val="24"/>
          <w:szCs w:val="24"/>
        </w:rPr>
        <w:t>本机构已详细、完整阅读</w:t>
      </w:r>
      <w:r>
        <w:rPr>
          <w:rFonts w:ascii="宋体" w:eastAsia="宋体" w:hAnsi="宋体" w:cs="Segoe UI" w:hint="eastAsia"/>
          <w:color w:val="000000"/>
          <w:kern w:val="0"/>
          <w:sz w:val="24"/>
          <w:szCs w:val="24"/>
          <w:lang w:val="en"/>
        </w:rPr>
        <w:t>招募说明书、基金合同和</w:t>
      </w:r>
      <w:r>
        <w:rPr>
          <w:rFonts w:ascii="宋体" w:eastAsia="宋体" w:hAnsi="宋体" w:hint="eastAsia"/>
          <w:sz w:val="24"/>
          <w:szCs w:val="24"/>
        </w:rPr>
        <w:t>贵公司发布的《询价公告》，并如实按照《询价公告》所载方式提供了本次网下询价及认购业务的全部文件，并保证对本机构提供的所有文件资料的真实性、准确性、完整性、</w:t>
      </w:r>
      <w:r>
        <w:rPr>
          <w:rFonts w:ascii="宋体" w:eastAsia="宋体" w:hAnsi="宋体" w:cs="Segoe UI"/>
          <w:color w:val="000000"/>
          <w:kern w:val="0"/>
          <w:sz w:val="24"/>
          <w:szCs w:val="24"/>
          <w:lang w:val="en"/>
        </w:rPr>
        <w:t>有效</w:t>
      </w:r>
      <w:r>
        <w:rPr>
          <w:rFonts w:ascii="宋体" w:eastAsia="宋体" w:hAnsi="宋体" w:cs="Segoe UI" w:hint="eastAsia"/>
          <w:color w:val="000000"/>
          <w:kern w:val="0"/>
          <w:sz w:val="24"/>
          <w:szCs w:val="24"/>
          <w:lang w:val="en"/>
        </w:rPr>
        <w:t>性</w:t>
      </w:r>
      <w:r>
        <w:rPr>
          <w:rFonts w:ascii="宋体" w:eastAsia="宋体" w:hAnsi="宋体" w:hint="eastAsia"/>
          <w:sz w:val="24"/>
          <w:szCs w:val="24"/>
        </w:rPr>
        <w:t>和及时性负责，确认不存在任何</w:t>
      </w:r>
      <w:r>
        <w:rPr>
          <w:rFonts w:ascii="宋体" w:eastAsia="宋体" w:hAnsi="宋体" w:cs="Segoe UI"/>
          <w:color w:val="000000"/>
          <w:kern w:val="0"/>
          <w:sz w:val="24"/>
          <w:szCs w:val="24"/>
          <w:lang w:val="en"/>
        </w:rPr>
        <w:t>虚假记载</w:t>
      </w:r>
      <w:r>
        <w:rPr>
          <w:rFonts w:ascii="宋体" w:eastAsia="宋体" w:hAnsi="宋体" w:cs="Segoe UI" w:hint="eastAsia"/>
          <w:color w:val="000000"/>
          <w:kern w:val="0"/>
          <w:sz w:val="24"/>
          <w:szCs w:val="24"/>
          <w:lang w:val="en"/>
        </w:rPr>
        <w:t>、</w:t>
      </w:r>
      <w:r>
        <w:rPr>
          <w:rFonts w:ascii="宋体" w:eastAsia="宋体" w:hAnsi="宋体" w:hint="eastAsia"/>
          <w:sz w:val="24"/>
          <w:szCs w:val="24"/>
        </w:rPr>
        <w:t>遗漏或误导。本机构承诺所提交的核查材料的</w:t>
      </w:r>
      <w:r>
        <w:rPr>
          <w:rFonts w:ascii="宋体" w:eastAsia="宋体" w:hAnsi="宋体" w:hint="eastAsia"/>
          <w:sz w:val="24"/>
          <w:szCs w:val="24"/>
        </w:rPr>
        <w:t>电子版文件、盖章扫描件、原件三个版本内容</w:t>
      </w:r>
      <w:r>
        <w:rPr>
          <w:rFonts w:ascii="宋体" w:eastAsia="宋体" w:hAnsi="宋体" w:hint="eastAsia"/>
          <w:sz w:val="24"/>
          <w:szCs w:val="24"/>
        </w:rPr>
        <w:t>一致。</w:t>
      </w:r>
    </w:p>
    <w:p w14:paraId="0FF3AF6B" w14:textId="77777777" w:rsidR="00D4346E" w:rsidRDefault="00F32334">
      <w:pPr>
        <w:pStyle w:val="ad"/>
        <w:numPr>
          <w:ilvl w:val="0"/>
          <w:numId w:val="1"/>
        </w:numPr>
        <w:tabs>
          <w:tab w:val="left" w:pos="851"/>
        </w:tabs>
        <w:spacing w:before="240" w:line="360" w:lineRule="auto"/>
        <w:ind w:left="0" w:firstLine="480"/>
        <w:rPr>
          <w:rFonts w:ascii="宋体" w:eastAsia="宋体" w:hAnsi="宋体"/>
          <w:sz w:val="24"/>
          <w:szCs w:val="24"/>
        </w:rPr>
      </w:pPr>
      <w:r>
        <w:rPr>
          <w:rFonts w:ascii="宋体" w:eastAsia="宋体" w:hAnsi="宋体" w:hint="eastAsia"/>
          <w:sz w:val="24"/>
          <w:szCs w:val="24"/>
        </w:rPr>
        <w:t>本机构已经熟知基础设施证券投资基金在上市后存在跌破发行价格的风险，并承诺充分关注定价市场化蕴含的风险因素，切实提高风险意识，强化价值投资理念，避免盲目炒作。</w:t>
      </w:r>
    </w:p>
    <w:p w14:paraId="129D5C9D" w14:textId="77777777" w:rsidR="00D4346E" w:rsidRDefault="00F32334">
      <w:pPr>
        <w:pStyle w:val="ad"/>
        <w:numPr>
          <w:ilvl w:val="0"/>
          <w:numId w:val="1"/>
        </w:numPr>
        <w:tabs>
          <w:tab w:val="left" w:pos="851"/>
        </w:tabs>
        <w:spacing w:before="240" w:line="360" w:lineRule="auto"/>
        <w:ind w:left="0" w:firstLine="480"/>
        <w:rPr>
          <w:rFonts w:ascii="宋体" w:eastAsia="宋体" w:hAnsi="宋体"/>
          <w:sz w:val="24"/>
          <w:szCs w:val="24"/>
        </w:rPr>
      </w:pPr>
      <w:r>
        <w:rPr>
          <w:rFonts w:ascii="宋体" w:eastAsia="宋体" w:hAnsi="宋体" w:hint="eastAsia"/>
          <w:sz w:val="24"/>
          <w:szCs w:val="24"/>
        </w:rPr>
        <w:t>本机构承诺本次认购的资金来源和用途合法合</w:t>
      </w:r>
      <w:proofErr w:type="gramStart"/>
      <w:r>
        <w:rPr>
          <w:rFonts w:ascii="宋体" w:eastAsia="宋体" w:hAnsi="宋体" w:hint="eastAsia"/>
          <w:sz w:val="24"/>
          <w:szCs w:val="24"/>
        </w:rPr>
        <w:t>规</w:t>
      </w:r>
      <w:proofErr w:type="gramEnd"/>
      <w:r>
        <w:rPr>
          <w:rFonts w:ascii="宋体" w:eastAsia="宋体" w:hAnsi="宋体" w:hint="eastAsia"/>
          <w:sz w:val="24"/>
          <w:szCs w:val="24"/>
        </w:rPr>
        <w:t>，未违反《中华人民共和国反洗钱法》等相关法律法规的规定。</w:t>
      </w:r>
      <w:r>
        <w:rPr>
          <w:rFonts w:ascii="宋体" w:eastAsia="宋体" w:hAnsi="宋体" w:cs="Segoe UI" w:hint="eastAsia"/>
          <w:color w:val="000000"/>
          <w:kern w:val="0"/>
          <w:sz w:val="24"/>
          <w:szCs w:val="24"/>
          <w:lang w:val="en"/>
        </w:rPr>
        <w:t>本机构及本机构管理的配售对象</w:t>
      </w:r>
      <w:r>
        <w:rPr>
          <w:rFonts w:ascii="宋体" w:eastAsia="宋体" w:hAnsi="宋体" w:cs="Segoe UI"/>
          <w:color w:val="000000"/>
          <w:kern w:val="0"/>
          <w:sz w:val="24"/>
          <w:szCs w:val="24"/>
          <w:lang w:val="en"/>
        </w:rPr>
        <w:t>参与网下询价和</w:t>
      </w:r>
      <w:r>
        <w:rPr>
          <w:rFonts w:ascii="宋体" w:eastAsia="宋体" w:hAnsi="宋体" w:cs="Segoe UI" w:hint="eastAsia"/>
          <w:color w:val="000000"/>
          <w:kern w:val="0"/>
          <w:sz w:val="24"/>
          <w:szCs w:val="24"/>
          <w:lang w:val="en"/>
        </w:rPr>
        <w:t>认</w:t>
      </w:r>
      <w:r>
        <w:rPr>
          <w:rFonts w:ascii="宋体" w:eastAsia="宋体" w:hAnsi="宋体" w:cs="Segoe UI"/>
          <w:color w:val="000000"/>
          <w:kern w:val="0"/>
          <w:sz w:val="24"/>
          <w:szCs w:val="24"/>
          <w:lang w:val="en"/>
        </w:rPr>
        <w:t>购</w:t>
      </w:r>
      <w:r>
        <w:rPr>
          <w:rFonts w:ascii="宋体" w:eastAsia="宋体" w:hAnsi="宋体" w:cs="Segoe UI" w:hint="eastAsia"/>
          <w:color w:val="000000"/>
          <w:kern w:val="0"/>
          <w:sz w:val="24"/>
          <w:szCs w:val="24"/>
          <w:lang w:val="en"/>
        </w:rPr>
        <w:t>符合</w:t>
      </w:r>
      <w:r>
        <w:rPr>
          <w:rFonts w:ascii="宋体" w:eastAsia="宋体" w:hAnsi="宋体" w:hint="eastAsia"/>
          <w:sz w:val="24"/>
          <w:szCs w:val="24"/>
        </w:rPr>
        <w:t>相关监管部门、自律监管组织</w:t>
      </w:r>
      <w:r>
        <w:rPr>
          <w:rFonts w:ascii="宋体" w:eastAsia="宋体" w:hAnsi="宋体" w:cs="Segoe UI" w:hint="eastAsia"/>
          <w:color w:val="000000"/>
          <w:kern w:val="0"/>
          <w:sz w:val="24"/>
          <w:szCs w:val="24"/>
          <w:lang w:val="en"/>
        </w:rPr>
        <w:t>的要求、遵守相关规定。</w:t>
      </w:r>
    </w:p>
    <w:p w14:paraId="39F6A41D" w14:textId="77777777" w:rsidR="00D4346E" w:rsidRDefault="00F32334">
      <w:pPr>
        <w:pStyle w:val="ad"/>
        <w:numPr>
          <w:ilvl w:val="0"/>
          <w:numId w:val="1"/>
        </w:numPr>
        <w:tabs>
          <w:tab w:val="left" w:pos="851"/>
        </w:tabs>
        <w:spacing w:before="240" w:line="360" w:lineRule="auto"/>
        <w:ind w:left="0" w:firstLine="480"/>
        <w:rPr>
          <w:rFonts w:ascii="宋体" w:eastAsia="宋体" w:hAnsi="宋体"/>
          <w:sz w:val="24"/>
          <w:szCs w:val="24"/>
        </w:rPr>
      </w:pPr>
      <w:r>
        <w:rPr>
          <w:rFonts w:ascii="宋体" w:eastAsia="宋体" w:hAnsi="宋体" w:cs="Segoe UI"/>
          <w:color w:val="000000"/>
          <w:kern w:val="0"/>
          <w:sz w:val="24"/>
          <w:szCs w:val="24"/>
          <w:lang w:val="en"/>
        </w:rPr>
        <w:t>就本机构及</w:t>
      </w:r>
      <w:r>
        <w:rPr>
          <w:rFonts w:ascii="宋体" w:eastAsia="宋体" w:hAnsi="宋体" w:cs="Segoe UI" w:hint="eastAsia"/>
          <w:color w:val="000000"/>
          <w:kern w:val="0"/>
          <w:sz w:val="24"/>
          <w:szCs w:val="24"/>
          <w:lang w:val="en"/>
        </w:rPr>
        <w:t>本机构</w:t>
      </w:r>
      <w:r>
        <w:rPr>
          <w:rFonts w:ascii="宋体" w:eastAsia="宋体" w:hAnsi="宋体" w:cs="Segoe UI"/>
          <w:color w:val="000000"/>
          <w:kern w:val="0"/>
          <w:sz w:val="24"/>
          <w:szCs w:val="24"/>
          <w:lang w:val="en"/>
        </w:rPr>
        <w:t>管理的配售对象参与</w:t>
      </w:r>
      <w:r>
        <w:rPr>
          <w:rFonts w:ascii="宋体" w:eastAsia="宋体" w:hAnsi="宋体" w:cs="Segoe UI" w:hint="eastAsia"/>
          <w:color w:val="000000"/>
          <w:kern w:val="0"/>
          <w:sz w:val="24"/>
          <w:szCs w:val="24"/>
          <w:lang w:val="en"/>
        </w:rPr>
        <w:t>基础设施证券投资基金</w:t>
      </w:r>
      <w:r>
        <w:rPr>
          <w:rFonts w:ascii="宋体" w:eastAsia="宋体" w:hAnsi="宋体" w:cs="Segoe UI"/>
          <w:color w:val="000000"/>
          <w:kern w:val="0"/>
          <w:sz w:val="24"/>
          <w:szCs w:val="24"/>
          <w:lang w:val="en"/>
        </w:rPr>
        <w:t>网下发行资质及合</w:t>
      </w:r>
      <w:proofErr w:type="gramStart"/>
      <w:r>
        <w:rPr>
          <w:rFonts w:ascii="宋体" w:eastAsia="宋体" w:hAnsi="宋体" w:cs="Segoe UI"/>
          <w:color w:val="000000"/>
          <w:kern w:val="0"/>
          <w:sz w:val="24"/>
          <w:szCs w:val="24"/>
          <w:lang w:val="en"/>
        </w:rPr>
        <w:t>规</w:t>
      </w:r>
      <w:proofErr w:type="gramEnd"/>
      <w:r>
        <w:rPr>
          <w:rFonts w:ascii="宋体" w:eastAsia="宋体" w:hAnsi="宋体" w:cs="Segoe UI"/>
          <w:color w:val="000000"/>
          <w:kern w:val="0"/>
          <w:sz w:val="24"/>
          <w:szCs w:val="24"/>
          <w:lang w:val="en"/>
        </w:rPr>
        <w:t>相</w:t>
      </w:r>
      <w:r>
        <w:rPr>
          <w:rFonts w:ascii="宋体" w:eastAsia="宋体" w:hAnsi="宋体" w:cs="Segoe UI"/>
          <w:color w:val="000000"/>
          <w:kern w:val="0"/>
          <w:sz w:val="24"/>
          <w:szCs w:val="24"/>
          <w:lang w:val="en"/>
        </w:rPr>
        <w:lastRenderedPageBreak/>
        <w:t>关事宜，自愿配合接受</w:t>
      </w:r>
      <w:r>
        <w:rPr>
          <w:rFonts w:ascii="宋体" w:eastAsia="宋体" w:hAnsi="宋体" w:cs="Segoe UI" w:hint="eastAsia"/>
          <w:color w:val="000000"/>
          <w:kern w:val="0"/>
          <w:sz w:val="24"/>
          <w:szCs w:val="24"/>
          <w:lang w:val="en"/>
        </w:rPr>
        <w:t>财务顾问或基金管理人</w:t>
      </w:r>
      <w:r>
        <w:rPr>
          <w:rFonts w:ascii="宋体" w:eastAsia="宋体" w:hAnsi="宋体" w:cs="Segoe UI"/>
          <w:color w:val="000000"/>
          <w:kern w:val="0"/>
          <w:sz w:val="24"/>
          <w:szCs w:val="24"/>
          <w:lang w:val="en"/>
        </w:rPr>
        <w:t>进行核查，如有需要，可进一步提供相关材料。</w:t>
      </w:r>
    </w:p>
    <w:p w14:paraId="4602C566" w14:textId="77777777" w:rsidR="00D4346E" w:rsidRDefault="00F32334">
      <w:pPr>
        <w:pStyle w:val="ad"/>
        <w:numPr>
          <w:ilvl w:val="0"/>
          <w:numId w:val="1"/>
        </w:numPr>
        <w:tabs>
          <w:tab w:val="left" w:pos="851"/>
        </w:tabs>
        <w:spacing w:before="240" w:line="360" w:lineRule="auto"/>
        <w:ind w:left="0" w:firstLine="480"/>
        <w:rPr>
          <w:rFonts w:ascii="宋体" w:eastAsia="宋体" w:hAnsi="宋体"/>
          <w:sz w:val="24"/>
          <w:szCs w:val="24"/>
        </w:rPr>
      </w:pPr>
      <w:r>
        <w:rPr>
          <w:rFonts w:ascii="宋体" w:eastAsia="宋体" w:hAnsi="宋体" w:cs="Segoe UI" w:hint="eastAsia"/>
          <w:color w:val="000000"/>
          <w:kern w:val="0"/>
          <w:sz w:val="24"/>
          <w:szCs w:val="24"/>
          <w:lang w:val="en"/>
        </w:rPr>
        <w:t>本机构承诺将加强对相关业务规则的学习，强化基础设施项目估值定价研究工作，并建立完善的内部控制制度和业务操作流程，做好相关工作人员的培训和管理，确保业务开展合法合</w:t>
      </w:r>
      <w:proofErr w:type="gramStart"/>
      <w:r>
        <w:rPr>
          <w:rFonts w:ascii="宋体" w:eastAsia="宋体" w:hAnsi="宋体" w:cs="Segoe UI" w:hint="eastAsia"/>
          <w:color w:val="000000"/>
          <w:kern w:val="0"/>
          <w:sz w:val="24"/>
          <w:szCs w:val="24"/>
          <w:lang w:val="en"/>
        </w:rPr>
        <w:t>规</w:t>
      </w:r>
      <w:proofErr w:type="gramEnd"/>
      <w:r>
        <w:rPr>
          <w:rFonts w:ascii="宋体" w:eastAsia="宋体" w:hAnsi="宋体" w:cs="Segoe UI" w:hint="eastAsia"/>
          <w:color w:val="000000"/>
          <w:kern w:val="0"/>
          <w:sz w:val="24"/>
          <w:szCs w:val="24"/>
          <w:lang w:val="en"/>
        </w:rPr>
        <w:t>。本机构应将相关业务制度汇编、工作底稿等存档备查。</w:t>
      </w:r>
    </w:p>
    <w:p w14:paraId="735BC43A" w14:textId="77777777" w:rsidR="00D4346E" w:rsidRDefault="00F32334">
      <w:pPr>
        <w:pStyle w:val="ad"/>
        <w:numPr>
          <w:ilvl w:val="0"/>
          <w:numId w:val="1"/>
        </w:numPr>
        <w:tabs>
          <w:tab w:val="left" w:pos="851"/>
        </w:tabs>
        <w:spacing w:before="240" w:line="360" w:lineRule="auto"/>
        <w:ind w:left="0" w:firstLine="480"/>
        <w:rPr>
          <w:rFonts w:ascii="宋体" w:eastAsia="宋体" w:hAnsi="宋体"/>
          <w:sz w:val="24"/>
          <w:szCs w:val="24"/>
        </w:rPr>
      </w:pPr>
      <w:proofErr w:type="gramStart"/>
      <w:r>
        <w:rPr>
          <w:rFonts w:ascii="宋体" w:eastAsia="宋体" w:hAnsi="宋体" w:hint="eastAsia"/>
          <w:sz w:val="24"/>
          <w:szCs w:val="24"/>
        </w:rPr>
        <w:t>本承诺函自</w:t>
      </w:r>
      <w:proofErr w:type="gramEnd"/>
      <w:r>
        <w:rPr>
          <w:rFonts w:ascii="宋体" w:eastAsia="宋体" w:hAnsi="宋体" w:hint="eastAsia"/>
          <w:sz w:val="24"/>
          <w:szCs w:val="24"/>
        </w:rPr>
        <w:t>签署之日起对本机构具有法律约束力，违反</w:t>
      </w:r>
      <w:proofErr w:type="gramStart"/>
      <w:r>
        <w:rPr>
          <w:rFonts w:ascii="宋体" w:eastAsia="宋体" w:hAnsi="宋体" w:hint="eastAsia"/>
          <w:sz w:val="24"/>
          <w:szCs w:val="24"/>
        </w:rPr>
        <w:t>本承诺</w:t>
      </w:r>
      <w:proofErr w:type="gramEnd"/>
      <w:r>
        <w:rPr>
          <w:rFonts w:ascii="宋体" w:eastAsia="宋体" w:hAnsi="宋体" w:hint="eastAsia"/>
          <w:sz w:val="24"/>
          <w:szCs w:val="24"/>
        </w:rPr>
        <w:t>函所造成的一切损失和后果由本机构承担。</w:t>
      </w:r>
    </w:p>
    <w:p w14:paraId="2283CDAC" w14:textId="77777777" w:rsidR="00D4346E" w:rsidRDefault="00F32334">
      <w:pPr>
        <w:spacing w:before="240" w:line="360" w:lineRule="auto"/>
        <w:ind w:firstLineChars="200" w:firstLine="480"/>
        <w:rPr>
          <w:rFonts w:ascii="宋体" w:eastAsia="宋体" w:hAnsi="宋体"/>
          <w:sz w:val="24"/>
          <w:szCs w:val="24"/>
        </w:rPr>
      </w:pPr>
      <w:r>
        <w:rPr>
          <w:rFonts w:ascii="宋体" w:eastAsia="宋体" w:hAnsi="宋体" w:hint="eastAsia"/>
          <w:sz w:val="24"/>
          <w:szCs w:val="24"/>
        </w:rPr>
        <w:t>特此承诺！</w:t>
      </w:r>
    </w:p>
    <w:p w14:paraId="357608D7" w14:textId="77777777" w:rsidR="00D4346E" w:rsidRDefault="00F32334">
      <w:pPr>
        <w:spacing w:before="240" w:line="360" w:lineRule="auto"/>
        <w:ind w:firstLineChars="200" w:firstLine="480"/>
        <w:rPr>
          <w:rFonts w:ascii="宋体" w:eastAsia="宋体" w:hAnsi="宋体"/>
          <w:sz w:val="24"/>
          <w:szCs w:val="24"/>
        </w:rPr>
      </w:pPr>
      <w:r>
        <w:rPr>
          <w:rFonts w:ascii="宋体" w:eastAsia="宋体" w:hAnsi="宋体" w:hint="eastAsia"/>
          <w:sz w:val="24"/>
          <w:szCs w:val="24"/>
        </w:rPr>
        <w:t>（以下无正文）</w:t>
      </w:r>
    </w:p>
    <w:p w14:paraId="0C3DF348" w14:textId="77777777" w:rsidR="00D4346E" w:rsidRDefault="00F32334">
      <w:pPr>
        <w:wordWrap w:val="0"/>
        <w:spacing w:line="360" w:lineRule="auto"/>
        <w:ind w:right="630" w:firstLineChars="200" w:firstLine="480"/>
        <w:jc w:val="right"/>
        <w:rPr>
          <w:rFonts w:ascii="宋体" w:eastAsia="宋体" w:hAnsi="宋体"/>
          <w:sz w:val="24"/>
          <w:szCs w:val="24"/>
        </w:rPr>
      </w:pPr>
      <w:r>
        <w:rPr>
          <w:rFonts w:ascii="宋体" w:eastAsia="宋体" w:hAnsi="宋体" w:hint="eastAsia"/>
          <w:sz w:val="24"/>
          <w:szCs w:val="24"/>
        </w:rPr>
        <w:t>承诺机构：</w:t>
      </w:r>
      <w:r>
        <w:rPr>
          <w:rFonts w:ascii="宋体" w:eastAsia="宋体" w:hAnsi="宋体"/>
          <w:sz w:val="24"/>
          <w:szCs w:val="24"/>
        </w:rPr>
        <w:t xml:space="preserve"> </w:t>
      </w:r>
    </w:p>
    <w:p w14:paraId="3FAAB619" w14:textId="77777777" w:rsidR="00D4346E" w:rsidRDefault="00F32334">
      <w:pPr>
        <w:spacing w:line="360" w:lineRule="auto"/>
        <w:ind w:right="210" w:firstLineChars="200" w:firstLine="480"/>
        <w:jc w:val="right"/>
        <w:rPr>
          <w:rFonts w:ascii="宋体" w:eastAsia="宋体" w:hAnsi="宋体"/>
          <w:sz w:val="24"/>
          <w:szCs w:val="24"/>
        </w:rPr>
      </w:pPr>
      <w:r>
        <w:rPr>
          <w:rFonts w:ascii="宋体" w:eastAsia="宋体" w:hAnsi="宋体" w:hint="eastAsia"/>
          <w:sz w:val="24"/>
          <w:szCs w:val="24"/>
        </w:rPr>
        <w:t>（加盖公章）</w:t>
      </w:r>
    </w:p>
    <w:p w14:paraId="1318A59E" w14:textId="77777777" w:rsidR="00D4346E" w:rsidRDefault="00F32334">
      <w:pPr>
        <w:spacing w:line="360" w:lineRule="auto"/>
        <w:ind w:firstLineChars="200" w:firstLine="480"/>
        <w:jc w:val="right"/>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022</w:t>
      </w:r>
      <w:r>
        <w:rPr>
          <w:rFonts w:ascii="宋体" w:eastAsia="宋体" w:hAnsi="宋体" w:hint="eastAsia"/>
          <w:sz w:val="24"/>
          <w:szCs w:val="24"/>
        </w:rPr>
        <w:t>年</w:t>
      </w:r>
      <w:r>
        <w:rPr>
          <w:rFonts w:ascii="宋体" w:eastAsia="宋体" w:hAnsi="宋体"/>
          <w:sz w:val="24"/>
          <w:szCs w:val="24"/>
        </w:rPr>
        <w:t>6</w:t>
      </w:r>
      <w:r>
        <w:rPr>
          <w:rFonts w:ascii="宋体" w:eastAsia="宋体" w:hAnsi="宋体" w:hint="eastAsia"/>
          <w:sz w:val="24"/>
          <w:szCs w:val="24"/>
        </w:rPr>
        <w:t>月</w:t>
      </w:r>
      <w:r>
        <w:rPr>
          <w:rFonts w:ascii="宋体" w:eastAsia="宋体" w:hAnsi="宋体" w:hint="eastAsia"/>
          <w:sz w:val="24"/>
          <w:szCs w:val="24"/>
        </w:rPr>
        <w:t xml:space="preserve"> </w:t>
      </w:r>
      <w:r>
        <w:rPr>
          <w:rFonts w:ascii="宋体" w:eastAsia="宋体" w:hAnsi="宋体"/>
          <w:sz w:val="24"/>
          <w:szCs w:val="24"/>
        </w:rPr>
        <w:t xml:space="preserve"> </w:t>
      </w:r>
      <w:r>
        <w:rPr>
          <w:rFonts w:ascii="宋体" w:eastAsia="宋体" w:hAnsi="宋体" w:hint="eastAsia"/>
          <w:sz w:val="24"/>
          <w:szCs w:val="24"/>
        </w:rPr>
        <w:t>日</w:t>
      </w:r>
    </w:p>
    <w:sectPr w:rsidR="00D4346E">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FD9FF" w14:textId="77777777" w:rsidR="00F32334" w:rsidRDefault="00F32334">
      <w:r>
        <w:separator/>
      </w:r>
    </w:p>
  </w:endnote>
  <w:endnote w:type="continuationSeparator" w:id="0">
    <w:p w14:paraId="7D8A5784" w14:textId="77777777" w:rsidR="00F32334" w:rsidRDefault="00F32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668174"/>
    </w:sdtPr>
    <w:sdtEndPr/>
    <w:sdtContent>
      <w:sdt>
        <w:sdtPr>
          <w:id w:val="1728636285"/>
        </w:sdtPr>
        <w:sdtEndPr/>
        <w:sdtContent>
          <w:p w14:paraId="36459236" w14:textId="74905B9F" w:rsidR="00D4346E" w:rsidRDefault="00F32334">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A221B">
              <w:rPr>
                <w:b/>
                <w:bCs/>
                <w:noProof/>
              </w:rPr>
              <w:t>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A221B">
              <w:rPr>
                <w:b/>
                <w:bCs/>
                <w:noProof/>
              </w:rPr>
              <w:t>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3FC80" w14:textId="77777777" w:rsidR="00F32334" w:rsidRDefault="00F32334">
      <w:r>
        <w:separator/>
      </w:r>
    </w:p>
  </w:footnote>
  <w:footnote w:type="continuationSeparator" w:id="0">
    <w:p w14:paraId="21B29C10" w14:textId="77777777" w:rsidR="00F32334" w:rsidRDefault="00F323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8F1C4D"/>
    <w:multiLevelType w:val="multilevel"/>
    <w:tmpl w:val="728F1C4D"/>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5NDIzNjEwYTE5NWU3YjYxNzgwZTA1NmU3ZjE4MzAifQ=="/>
  </w:docVars>
  <w:rsids>
    <w:rsidRoot w:val="002F4AEA"/>
    <w:rsid w:val="000107A2"/>
    <w:rsid w:val="00011B60"/>
    <w:rsid w:val="0002474D"/>
    <w:rsid w:val="00025AD0"/>
    <w:rsid w:val="00025F36"/>
    <w:rsid w:val="000260C8"/>
    <w:rsid w:val="00032D5A"/>
    <w:rsid w:val="000364D4"/>
    <w:rsid w:val="00067200"/>
    <w:rsid w:val="0008546D"/>
    <w:rsid w:val="000957B6"/>
    <w:rsid w:val="0009691B"/>
    <w:rsid w:val="000B617B"/>
    <w:rsid w:val="000B7EEE"/>
    <w:rsid w:val="000D0082"/>
    <w:rsid w:val="000F4707"/>
    <w:rsid w:val="00101D09"/>
    <w:rsid w:val="0014238B"/>
    <w:rsid w:val="0015161C"/>
    <w:rsid w:val="00180EB7"/>
    <w:rsid w:val="001A675B"/>
    <w:rsid w:val="001C6849"/>
    <w:rsid w:val="001E1E44"/>
    <w:rsid w:val="001E64F4"/>
    <w:rsid w:val="001F66B0"/>
    <w:rsid w:val="001F7675"/>
    <w:rsid w:val="00232852"/>
    <w:rsid w:val="00235089"/>
    <w:rsid w:val="00240CE3"/>
    <w:rsid w:val="00244ADC"/>
    <w:rsid w:val="00250B74"/>
    <w:rsid w:val="002619EE"/>
    <w:rsid w:val="002636C6"/>
    <w:rsid w:val="00266290"/>
    <w:rsid w:val="00272A53"/>
    <w:rsid w:val="00273AC1"/>
    <w:rsid w:val="002A2DB0"/>
    <w:rsid w:val="002B3350"/>
    <w:rsid w:val="002C18FB"/>
    <w:rsid w:val="002C21C7"/>
    <w:rsid w:val="002D68CD"/>
    <w:rsid w:val="002E6F75"/>
    <w:rsid w:val="002F4AEA"/>
    <w:rsid w:val="00315161"/>
    <w:rsid w:val="00317938"/>
    <w:rsid w:val="003469A6"/>
    <w:rsid w:val="0034760E"/>
    <w:rsid w:val="00362667"/>
    <w:rsid w:val="00376277"/>
    <w:rsid w:val="00392BF7"/>
    <w:rsid w:val="0039430F"/>
    <w:rsid w:val="00395C87"/>
    <w:rsid w:val="00395D33"/>
    <w:rsid w:val="003C6EE1"/>
    <w:rsid w:val="003E5EBE"/>
    <w:rsid w:val="003F2436"/>
    <w:rsid w:val="00412CDD"/>
    <w:rsid w:val="004132E3"/>
    <w:rsid w:val="00421DDA"/>
    <w:rsid w:val="00423A6D"/>
    <w:rsid w:val="0042553C"/>
    <w:rsid w:val="00426CEC"/>
    <w:rsid w:val="004411B8"/>
    <w:rsid w:val="00450AA9"/>
    <w:rsid w:val="0047644D"/>
    <w:rsid w:val="004E5CA5"/>
    <w:rsid w:val="00501450"/>
    <w:rsid w:val="005146A6"/>
    <w:rsid w:val="00527EEF"/>
    <w:rsid w:val="00545E41"/>
    <w:rsid w:val="00547F6D"/>
    <w:rsid w:val="00556B1B"/>
    <w:rsid w:val="00572982"/>
    <w:rsid w:val="00576C02"/>
    <w:rsid w:val="00586FB8"/>
    <w:rsid w:val="005E319B"/>
    <w:rsid w:val="00626AA2"/>
    <w:rsid w:val="006633BB"/>
    <w:rsid w:val="00680D3A"/>
    <w:rsid w:val="00684968"/>
    <w:rsid w:val="00685AD5"/>
    <w:rsid w:val="00685F6C"/>
    <w:rsid w:val="006867A2"/>
    <w:rsid w:val="00694174"/>
    <w:rsid w:val="006A10D5"/>
    <w:rsid w:val="006A221B"/>
    <w:rsid w:val="006B76CF"/>
    <w:rsid w:val="006C3407"/>
    <w:rsid w:val="006D3064"/>
    <w:rsid w:val="006E688B"/>
    <w:rsid w:val="006E6C30"/>
    <w:rsid w:val="006F29CA"/>
    <w:rsid w:val="007232BE"/>
    <w:rsid w:val="007249F5"/>
    <w:rsid w:val="007301FB"/>
    <w:rsid w:val="00731A5D"/>
    <w:rsid w:val="00765279"/>
    <w:rsid w:val="007746F1"/>
    <w:rsid w:val="0078153A"/>
    <w:rsid w:val="007A31BD"/>
    <w:rsid w:val="007B4CB2"/>
    <w:rsid w:val="007C11A1"/>
    <w:rsid w:val="007C27D6"/>
    <w:rsid w:val="008351C3"/>
    <w:rsid w:val="00846A3E"/>
    <w:rsid w:val="008578AB"/>
    <w:rsid w:val="00892F16"/>
    <w:rsid w:val="008A7456"/>
    <w:rsid w:val="008A763B"/>
    <w:rsid w:val="008D05CB"/>
    <w:rsid w:val="008D4D48"/>
    <w:rsid w:val="008F3E95"/>
    <w:rsid w:val="0094131A"/>
    <w:rsid w:val="00950CB0"/>
    <w:rsid w:val="00953B3E"/>
    <w:rsid w:val="00954C40"/>
    <w:rsid w:val="009A19A9"/>
    <w:rsid w:val="009A25ED"/>
    <w:rsid w:val="009B3BDC"/>
    <w:rsid w:val="009C0B51"/>
    <w:rsid w:val="009D4AF5"/>
    <w:rsid w:val="009E033C"/>
    <w:rsid w:val="009E14D2"/>
    <w:rsid w:val="009E2230"/>
    <w:rsid w:val="009E3779"/>
    <w:rsid w:val="009E45B7"/>
    <w:rsid w:val="00A068F1"/>
    <w:rsid w:val="00A23AC0"/>
    <w:rsid w:val="00A36D69"/>
    <w:rsid w:val="00A5164C"/>
    <w:rsid w:val="00A52739"/>
    <w:rsid w:val="00A66461"/>
    <w:rsid w:val="00A91604"/>
    <w:rsid w:val="00AD750A"/>
    <w:rsid w:val="00AF7078"/>
    <w:rsid w:val="00B21B70"/>
    <w:rsid w:val="00B234FA"/>
    <w:rsid w:val="00B4019F"/>
    <w:rsid w:val="00B54235"/>
    <w:rsid w:val="00B66FAB"/>
    <w:rsid w:val="00BA0441"/>
    <w:rsid w:val="00BA4C20"/>
    <w:rsid w:val="00BB6AB1"/>
    <w:rsid w:val="00BB7505"/>
    <w:rsid w:val="00BB7F35"/>
    <w:rsid w:val="00BE520A"/>
    <w:rsid w:val="00C35622"/>
    <w:rsid w:val="00C40A89"/>
    <w:rsid w:val="00C40CBD"/>
    <w:rsid w:val="00C46242"/>
    <w:rsid w:val="00C55580"/>
    <w:rsid w:val="00C816B5"/>
    <w:rsid w:val="00CB116D"/>
    <w:rsid w:val="00CB33F9"/>
    <w:rsid w:val="00CC1C05"/>
    <w:rsid w:val="00CD1FA3"/>
    <w:rsid w:val="00CD40A0"/>
    <w:rsid w:val="00CF142E"/>
    <w:rsid w:val="00CF548E"/>
    <w:rsid w:val="00CF5C7B"/>
    <w:rsid w:val="00CF6DB5"/>
    <w:rsid w:val="00D34B5B"/>
    <w:rsid w:val="00D3518F"/>
    <w:rsid w:val="00D4346E"/>
    <w:rsid w:val="00D570DC"/>
    <w:rsid w:val="00D758F0"/>
    <w:rsid w:val="00D8659E"/>
    <w:rsid w:val="00D94475"/>
    <w:rsid w:val="00D95E4E"/>
    <w:rsid w:val="00D965FD"/>
    <w:rsid w:val="00DA36C3"/>
    <w:rsid w:val="00DB5346"/>
    <w:rsid w:val="00DD24A9"/>
    <w:rsid w:val="00DE040C"/>
    <w:rsid w:val="00DE09B3"/>
    <w:rsid w:val="00E219D0"/>
    <w:rsid w:val="00E34820"/>
    <w:rsid w:val="00E401D8"/>
    <w:rsid w:val="00E454C2"/>
    <w:rsid w:val="00E54DDC"/>
    <w:rsid w:val="00E64982"/>
    <w:rsid w:val="00E65705"/>
    <w:rsid w:val="00E90B7E"/>
    <w:rsid w:val="00EB2991"/>
    <w:rsid w:val="00EC71D2"/>
    <w:rsid w:val="00F06217"/>
    <w:rsid w:val="00F11A23"/>
    <w:rsid w:val="00F1668E"/>
    <w:rsid w:val="00F305A0"/>
    <w:rsid w:val="00F32334"/>
    <w:rsid w:val="00F43164"/>
    <w:rsid w:val="00F4399E"/>
    <w:rsid w:val="00F52943"/>
    <w:rsid w:val="00F569FF"/>
    <w:rsid w:val="00F62C67"/>
    <w:rsid w:val="00F97BF2"/>
    <w:rsid w:val="00FB2DDB"/>
    <w:rsid w:val="00FB5C25"/>
    <w:rsid w:val="00FC226A"/>
    <w:rsid w:val="00FE3B50"/>
    <w:rsid w:val="22B817BD"/>
    <w:rsid w:val="46B07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03DE0"/>
  <w15:docId w15:val="{4A3A7508-DCB1-4A8B-A199-98B45F904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
    <w:uiPriority w:val="99"/>
    <w:unhideWhenUsed/>
    <w:qFormat/>
    <w:pPr>
      <w:jc w:val="left"/>
    </w:pPr>
    <w:rPr>
      <w:rFonts w:ascii="Calibri" w:eastAsia="宋体" w:hAnsi="Calibri" w:cs="Times New Roman"/>
      <w:kern w:val="0"/>
      <w:sz w:val="20"/>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uiPriority w:val="99"/>
    <w:semiHidden/>
    <w:unhideWhenUsed/>
    <w:qFormat/>
    <w:rPr>
      <w:rFonts w:asciiTheme="minorHAnsi" w:eastAsiaTheme="minorEastAsia" w:hAnsiTheme="minorHAnsi" w:cstheme="minorBidi"/>
      <w:b/>
      <w:bCs/>
      <w:kern w:val="2"/>
      <w:sz w:val="21"/>
      <w:szCs w:val="22"/>
    </w:rPr>
  </w:style>
  <w:style w:type="character" w:styleId="ac">
    <w:name w:val="annotation reference"/>
    <w:uiPriority w:val="99"/>
    <w:qFormat/>
    <w:rPr>
      <w:sz w:val="21"/>
      <w:szCs w:val="21"/>
    </w:rPr>
  </w:style>
  <w:style w:type="character" w:customStyle="1" w:styleId="a9">
    <w:name w:val="页眉 字符"/>
    <w:basedOn w:val="a0"/>
    <w:link w:val="a8"/>
    <w:uiPriority w:val="99"/>
    <w:rPr>
      <w:sz w:val="18"/>
      <w:szCs w:val="18"/>
    </w:rPr>
  </w:style>
  <w:style w:type="character" w:customStyle="1" w:styleId="a7">
    <w:name w:val="页脚 字符"/>
    <w:basedOn w:val="a0"/>
    <w:link w:val="a6"/>
    <w:uiPriority w:val="99"/>
    <w:rPr>
      <w:sz w:val="18"/>
      <w:szCs w:val="18"/>
    </w:rPr>
  </w:style>
  <w:style w:type="paragraph" w:styleId="ad">
    <w:name w:val="List Paragraph"/>
    <w:basedOn w:val="a"/>
    <w:uiPriority w:val="34"/>
    <w:qFormat/>
    <w:pPr>
      <w:ind w:firstLineChars="200" w:firstLine="420"/>
    </w:pPr>
  </w:style>
  <w:style w:type="character" w:customStyle="1" w:styleId="a5">
    <w:name w:val="批注框文本 字符"/>
    <w:basedOn w:val="a0"/>
    <w:link w:val="a4"/>
    <w:uiPriority w:val="99"/>
    <w:semiHidden/>
    <w:qFormat/>
    <w:rPr>
      <w:sz w:val="18"/>
      <w:szCs w:val="18"/>
    </w:rPr>
  </w:style>
  <w:style w:type="character" w:customStyle="1" w:styleId="ae">
    <w:name w:val="批注文字 字符"/>
    <w:basedOn w:val="a0"/>
    <w:uiPriority w:val="99"/>
    <w:semiHidden/>
  </w:style>
  <w:style w:type="character" w:customStyle="1" w:styleId="1">
    <w:name w:val="批注文字 字符1"/>
    <w:link w:val="a3"/>
    <w:uiPriority w:val="99"/>
    <w:qFormat/>
    <w:rPr>
      <w:rFonts w:ascii="Calibri" w:eastAsia="宋体" w:hAnsi="Calibri" w:cs="Times New Roman"/>
      <w:kern w:val="0"/>
      <w:sz w:val="20"/>
      <w:szCs w:val="24"/>
    </w:rPr>
  </w:style>
  <w:style w:type="character" w:customStyle="1" w:styleId="ab">
    <w:name w:val="批注主题 字符"/>
    <w:basedOn w:val="1"/>
    <w:link w:val="aa"/>
    <w:uiPriority w:val="99"/>
    <w:semiHidden/>
    <w:qFormat/>
    <w:rPr>
      <w:rFonts w:ascii="Calibri" w:eastAsia="宋体" w:hAnsi="Calibri" w:cs="Times New Roman"/>
      <w:b/>
      <w:bCs/>
      <w:kern w:val="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594</Words>
  <Characters>3386</Characters>
  <Application>Microsoft Office Word</Application>
  <DocSecurity>0</DocSecurity>
  <Lines>28</Lines>
  <Paragraphs>7</Paragraphs>
  <ScaleCrop>false</ScaleCrop>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梁贤超</dc:creator>
  <cp:lastModifiedBy>刘容</cp:lastModifiedBy>
  <cp:revision>3</cp:revision>
  <dcterms:created xsi:type="dcterms:W3CDTF">2022-06-09T05:54:00Z</dcterms:created>
  <dcterms:modified xsi:type="dcterms:W3CDTF">2022-06-09T05:54:00Z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149FE1321A99413E89FF5004FB4F2454</vt:lpwstr>
  </property>
</Properties>
</file>